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5D" w:rsidRDefault="0086105D" w:rsidP="008204CA">
      <w:pPr>
        <w:pStyle w:val="Heading1"/>
        <w:jc w:val="center"/>
      </w:pPr>
      <w:r w:rsidRPr="00EF34E0">
        <w:t xml:space="preserve">The interplay between mathematics and pedagogy: Designing </w:t>
      </w:r>
      <w:r w:rsidR="00817235">
        <w:t xml:space="preserve">tasks </w:t>
      </w:r>
      <w:r w:rsidRPr="00EF34E0">
        <w:t>for mathematics teacher education</w:t>
      </w:r>
    </w:p>
    <w:p w:rsidR="00641058" w:rsidRDefault="00641058" w:rsidP="001714E4"/>
    <w:p w:rsidR="00641058" w:rsidRPr="00641058" w:rsidRDefault="00641058" w:rsidP="001714E4">
      <w:pPr>
        <w:jc w:val="center"/>
      </w:pPr>
      <w:r>
        <w:t xml:space="preserve">Gabriel </w:t>
      </w:r>
      <w:r w:rsidR="00D14907">
        <w:t xml:space="preserve">J. </w:t>
      </w:r>
      <w:r>
        <w:t>Stylianides and Anne Watson</w:t>
      </w:r>
    </w:p>
    <w:p w:rsidR="0086105D" w:rsidRPr="00EF34E0" w:rsidRDefault="0086105D" w:rsidP="0086105D"/>
    <w:p w:rsidR="0086105D" w:rsidRPr="00EF34E0" w:rsidRDefault="0086105D" w:rsidP="0086105D">
      <w:r w:rsidRPr="00EF34E0">
        <w:t xml:space="preserve">In our work with prospective secondary mathematics teachers we encourage interplay between mathematical and pedagogical ideas. In our experience, helping </w:t>
      </w:r>
      <w:r w:rsidR="009D4735">
        <w:t>prospective teachers</w:t>
      </w:r>
      <w:r w:rsidRPr="00EF34E0">
        <w:t xml:space="preserve"> to explore connections between mathematics and pedagogy facilitates the development of a deeper understanding of the complexities of mathematics teaching.  Task design and implementation is at the core of our approach to this issue. We shall illustrate the role of tasks in promoting interplay between mathematics and pedagogy with two examples of task sequences from our work. We shall also report on the immediate feedback we received from </w:t>
      </w:r>
      <w:r w:rsidR="00100AB4">
        <w:t xml:space="preserve">our </w:t>
      </w:r>
      <w:r w:rsidRPr="00EF34E0">
        <w:t>students.</w:t>
      </w:r>
    </w:p>
    <w:p w:rsidR="0086105D" w:rsidRPr="00EF34E0" w:rsidRDefault="0086105D" w:rsidP="0086105D"/>
    <w:p w:rsidR="0086105D" w:rsidRPr="00EF34E0" w:rsidRDefault="0086105D" w:rsidP="008204CA">
      <w:pPr>
        <w:pStyle w:val="Heading2"/>
        <w:jc w:val="center"/>
      </w:pPr>
      <w:r w:rsidRPr="00EF34E0">
        <w:t>INTRODUCTION</w:t>
      </w:r>
    </w:p>
    <w:p w:rsidR="0086105D" w:rsidRPr="00EF34E0" w:rsidRDefault="0086105D" w:rsidP="0086105D"/>
    <w:p w:rsidR="0086105D" w:rsidRPr="00EF34E0" w:rsidRDefault="0086105D" w:rsidP="0086105D">
      <w:r w:rsidRPr="00EF34E0">
        <w:t>In this paper we use the distinction suggested by Christiansen and Walter (1986) between ‘task’ and ‘activity’. ‘Task’ refers to operations undertaken within certain constraints and conditions (</w:t>
      </w:r>
      <w:proofErr w:type="spellStart"/>
      <w:r w:rsidRPr="00EF34E0">
        <w:t>Leont'ev</w:t>
      </w:r>
      <w:proofErr w:type="spellEnd"/>
      <w:r w:rsidRPr="00EF34E0">
        <w:t xml:space="preserve">, 1975) and ‘activity’ </w:t>
      </w:r>
      <w:r w:rsidR="009D4735">
        <w:t>refers to</w:t>
      </w:r>
      <w:r w:rsidR="009D4735" w:rsidRPr="00EF34E0">
        <w:t xml:space="preserve"> </w:t>
      </w:r>
      <w:r w:rsidRPr="00EF34E0">
        <w:t>the subsequent mathematical or pedagogical actions that emerge from interaction</w:t>
      </w:r>
      <w:r w:rsidR="0039093E">
        <w:t xml:space="preserve"> </w:t>
      </w:r>
      <w:r w:rsidR="009D4735">
        <w:t>among</w:t>
      </w:r>
      <w:r w:rsidR="009D4735" w:rsidRPr="00EF34E0">
        <w:t xml:space="preserve"> </w:t>
      </w:r>
      <w:r w:rsidR="009D4735">
        <w:t xml:space="preserve">the </w:t>
      </w:r>
      <w:r w:rsidRPr="00EF34E0">
        <w:t>student</w:t>
      </w:r>
      <w:r w:rsidR="009D4735">
        <w:t>s</w:t>
      </w:r>
      <w:r w:rsidRPr="00EF34E0">
        <w:t xml:space="preserve">, </w:t>
      </w:r>
      <w:r w:rsidR="009D4735">
        <w:t xml:space="preserve">the </w:t>
      </w:r>
      <w:r w:rsidRPr="00EF34E0">
        <w:t xml:space="preserve">teacher, </w:t>
      </w:r>
      <w:r w:rsidR="009D4735">
        <w:t xml:space="preserve">the </w:t>
      </w:r>
      <w:r w:rsidRPr="00EF34E0">
        <w:t xml:space="preserve">resources and </w:t>
      </w:r>
      <w:r w:rsidR="009D4735">
        <w:t xml:space="preserve">the </w:t>
      </w:r>
      <w:r w:rsidRPr="00EF34E0">
        <w:t>environment around the task. The teacher’s work is to engineer the mili</w:t>
      </w:r>
      <w:r>
        <w:t xml:space="preserve">eu </w:t>
      </w:r>
      <w:r w:rsidRPr="00EF34E0">
        <w:t>(</w:t>
      </w:r>
      <w:proofErr w:type="spellStart"/>
      <w:r w:rsidRPr="00EF34E0">
        <w:t>Chevallard</w:t>
      </w:r>
      <w:proofErr w:type="spellEnd"/>
      <w:r w:rsidR="009D4735">
        <w:t>, 1999</w:t>
      </w:r>
      <w:r w:rsidRPr="00EF34E0">
        <w:t>)</w:t>
      </w:r>
      <w:r w:rsidR="00693610">
        <w:t xml:space="preserve"> </w:t>
      </w:r>
      <w:r w:rsidRPr="00EF34E0">
        <w:t xml:space="preserve">in such a way that the activity is likely to be directed </w:t>
      </w:r>
      <w:r w:rsidR="00641058" w:rsidRPr="00EF34E0">
        <w:t xml:space="preserve">purposefully </w:t>
      </w:r>
      <w:r w:rsidRPr="00EF34E0">
        <w:t xml:space="preserve">towards the teacher’s intentions for learning. </w:t>
      </w:r>
    </w:p>
    <w:p w:rsidR="0086105D" w:rsidRDefault="0086105D" w:rsidP="0086105D">
      <w:r w:rsidRPr="00EF34E0">
        <w:t>At the school level, ‘tasks’ in mathematics classrooms are</w:t>
      </w:r>
      <w:r w:rsidR="00ED33BE">
        <w:t xml:space="preserve"> generally</w:t>
      </w:r>
      <w:r w:rsidRPr="00EF34E0">
        <w:t xml:space="preserve"> equivalent to ‘mathematical tasks’</w:t>
      </w:r>
      <w:r w:rsidR="00ED33BE">
        <w:t xml:space="preserve"> </w:t>
      </w:r>
      <w:r w:rsidRPr="00EF34E0">
        <w:t>and so tasks can be seen as the mediating tools for teaching and learning mathematics.  At the teacher education level, which is our focus in this paper, the meaning of the term ‘task’ becomes more complicated.  Some tasks may start as being just about engaging prospective teachers in</w:t>
      </w:r>
      <w:r w:rsidR="00ED33BE">
        <w:t xml:space="preserve"> </w:t>
      </w:r>
      <w:r w:rsidRPr="00EF34E0">
        <w:t xml:space="preserve">mathematical activity (‘mathematical tasks’), others may start as being about engaging </w:t>
      </w:r>
      <w:r w:rsidR="00710C36">
        <w:t>them</w:t>
      </w:r>
      <w:r w:rsidRPr="00EF34E0">
        <w:t xml:space="preserve"> in issues of pedagogy (‘pedagogical tasks’), and others may be somewhere in-between the</w:t>
      </w:r>
      <w:r w:rsidR="00ED33BE">
        <w:t>se</w:t>
      </w:r>
      <w:r w:rsidRPr="00EF34E0">
        <w:t xml:space="preserve"> two</w:t>
      </w:r>
      <w:r w:rsidR="00ED33BE">
        <w:t xml:space="preserve"> viewpoints</w:t>
      </w:r>
      <w:r w:rsidRPr="00EF34E0">
        <w:t>.  A major point we aim to make and illustrate in this paper is that, when we design tasks for use with prospective secondary teachers, even if these tasks on the surface look purely ‘mathematical’ or ‘pedagogical’, there is value during the implementation of these tasks to not limit the discussion to mathematical or pedagogical issues, respectively, but to explore with prospective teachers issues that the tasks can raise in the interplay between mathematics and pedagogy. In our experience, helping prospective teachers to explore connections between mathematics and pedagogy facilitates the development of a deeper understanding of the complexities of mathematics teaching.</w:t>
      </w:r>
    </w:p>
    <w:p w:rsidR="000E25CB" w:rsidRPr="00EF34E0" w:rsidRDefault="000E25CB" w:rsidP="0086105D">
      <w:r>
        <w:lastRenderedPageBreak/>
        <w:t>The students with whom we work</w:t>
      </w:r>
      <w:r w:rsidR="001721A1">
        <w:t xml:space="preserve"> as teacher educators</w:t>
      </w:r>
      <w:r>
        <w:t xml:space="preserve"> are in a continuous internship relationship with schools (see </w:t>
      </w:r>
      <w:proofErr w:type="spellStart"/>
      <w:r w:rsidR="00466D71">
        <w:t>Hagger</w:t>
      </w:r>
      <w:proofErr w:type="spellEnd"/>
      <w:r w:rsidR="00466D71">
        <w:t xml:space="preserve"> &amp; McIntyre, 2000;</w:t>
      </w:r>
      <w:r w:rsidR="000C6E89">
        <w:t xml:space="preserve"> </w:t>
      </w:r>
      <w:r w:rsidR="001721A1">
        <w:t>Thompson, 2014</w:t>
      </w:r>
      <w:r>
        <w:t xml:space="preserve">).  Throughout their one year course they are encouraged to integrate, through problem-solving and reflective approaches, their experiences of teaching and observing in school, reading and participating in university sessions. The </w:t>
      </w:r>
      <w:r w:rsidR="001731EC">
        <w:t xml:space="preserve">teacher educators </w:t>
      </w:r>
      <w:r>
        <w:t xml:space="preserve">who teach these sessions are the same </w:t>
      </w:r>
      <w:r w:rsidR="00D943FA">
        <w:t xml:space="preserve">people </w:t>
      </w:r>
      <w:r>
        <w:t xml:space="preserve">who visit them and observe their work in schools.  </w:t>
      </w:r>
      <w:r w:rsidR="00F87C4D">
        <w:rPr>
          <w:rFonts w:cs="Arial"/>
          <w:lang w:val="en-GB"/>
        </w:rPr>
        <w:t>E</w:t>
      </w:r>
      <w:r w:rsidR="00F87C4D" w:rsidRPr="00720F59">
        <w:rPr>
          <w:rFonts w:cs="Arial"/>
          <w:lang w:val="en-GB"/>
        </w:rPr>
        <w:t xml:space="preserve">xperience over time has taught us that </w:t>
      </w:r>
      <w:r w:rsidR="00F87C4D">
        <w:rPr>
          <w:rFonts w:cs="Arial"/>
          <w:lang w:val="en-GB"/>
        </w:rPr>
        <w:t xml:space="preserve">at times </w:t>
      </w:r>
      <w:r w:rsidR="00D943FA">
        <w:rPr>
          <w:rFonts w:cs="Arial"/>
          <w:lang w:val="en-GB"/>
        </w:rPr>
        <w:t xml:space="preserve">during the university sessions, some </w:t>
      </w:r>
      <w:r w:rsidR="00F87C4D">
        <w:rPr>
          <w:rFonts w:cs="Arial"/>
          <w:lang w:val="en-GB"/>
        </w:rPr>
        <w:t>prospective teachers</w:t>
      </w:r>
      <w:r w:rsidR="00F87C4D" w:rsidRPr="00720F59">
        <w:rPr>
          <w:rFonts w:cs="Arial"/>
          <w:lang w:val="en-GB"/>
        </w:rPr>
        <w:t xml:space="preserve"> will </w:t>
      </w:r>
      <w:r w:rsidR="00D943FA">
        <w:rPr>
          <w:rFonts w:cs="Arial"/>
          <w:lang w:val="en-GB"/>
        </w:rPr>
        <w:t xml:space="preserve">focus more on </w:t>
      </w:r>
      <w:r w:rsidR="00F87C4D" w:rsidRPr="00720F59">
        <w:rPr>
          <w:rFonts w:cs="Arial"/>
          <w:lang w:val="en-GB"/>
        </w:rPr>
        <w:t xml:space="preserve">the mathematics and </w:t>
      </w:r>
      <w:r w:rsidR="00D943FA">
        <w:rPr>
          <w:rFonts w:cs="Arial"/>
          <w:lang w:val="en-GB"/>
        </w:rPr>
        <w:t xml:space="preserve">others </w:t>
      </w:r>
      <w:r w:rsidR="00F87C4D" w:rsidRPr="00720F59">
        <w:rPr>
          <w:rFonts w:cs="Arial"/>
          <w:lang w:val="en-GB"/>
        </w:rPr>
        <w:t xml:space="preserve">will </w:t>
      </w:r>
      <w:r w:rsidR="00D943FA">
        <w:rPr>
          <w:rFonts w:cs="Arial"/>
          <w:lang w:val="en-GB"/>
        </w:rPr>
        <w:t xml:space="preserve">focus more on </w:t>
      </w:r>
      <w:r w:rsidR="00F87C4D" w:rsidRPr="00720F59">
        <w:rPr>
          <w:rFonts w:cs="Arial"/>
          <w:lang w:val="en-GB"/>
        </w:rPr>
        <w:t xml:space="preserve">similar </w:t>
      </w:r>
      <w:r w:rsidR="00D943FA">
        <w:rPr>
          <w:rFonts w:cs="Arial"/>
          <w:lang w:val="en-GB"/>
        </w:rPr>
        <w:t xml:space="preserve">teaching </w:t>
      </w:r>
      <w:r w:rsidR="00F87C4D" w:rsidRPr="00720F59">
        <w:rPr>
          <w:rFonts w:cs="Arial"/>
          <w:lang w:val="en-GB"/>
        </w:rPr>
        <w:t>situations they have</w:t>
      </w:r>
      <w:r w:rsidR="00770006">
        <w:rPr>
          <w:rFonts w:cs="Arial"/>
          <w:lang w:val="en-GB"/>
        </w:rPr>
        <w:t xml:space="preserve"> experienced</w:t>
      </w:r>
      <w:r w:rsidR="00F87C4D" w:rsidRPr="00720F59">
        <w:rPr>
          <w:rFonts w:cs="Arial"/>
          <w:lang w:val="en-GB"/>
        </w:rPr>
        <w:t xml:space="preserve"> in </w:t>
      </w:r>
      <w:r w:rsidR="00D943FA">
        <w:rPr>
          <w:rFonts w:cs="Arial"/>
          <w:lang w:val="en-GB"/>
        </w:rPr>
        <w:t>school. T</w:t>
      </w:r>
      <w:r w:rsidR="00F87C4D">
        <w:rPr>
          <w:rFonts w:cs="Arial"/>
          <w:lang w:val="en-GB"/>
        </w:rPr>
        <w:t>hus</w:t>
      </w:r>
      <w:r w:rsidR="00D943FA">
        <w:rPr>
          <w:rFonts w:cs="Arial"/>
          <w:lang w:val="en-GB"/>
        </w:rPr>
        <w:t xml:space="preserve">, </w:t>
      </w:r>
      <w:r w:rsidR="001721A1">
        <w:rPr>
          <w:rFonts w:cs="Arial"/>
          <w:lang w:val="en-GB"/>
        </w:rPr>
        <w:t>our students'</w:t>
      </w:r>
      <w:r w:rsidR="000C6E89">
        <w:rPr>
          <w:rFonts w:cs="Arial"/>
          <w:lang w:val="en-GB"/>
        </w:rPr>
        <w:t xml:space="preserve"> </w:t>
      </w:r>
      <w:r w:rsidR="00D943FA">
        <w:rPr>
          <w:rFonts w:cs="Arial"/>
          <w:lang w:val="en-GB"/>
        </w:rPr>
        <w:t xml:space="preserve">rich mathematical knowledge and </w:t>
      </w:r>
      <w:r w:rsidR="00F87C4D">
        <w:rPr>
          <w:rFonts w:cs="Arial"/>
          <w:lang w:val="en-GB"/>
        </w:rPr>
        <w:t xml:space="preserve">recent </w:t>
      </w:r>
      <w:r w:rsidR="00D943FA">
        <w:rPr>
          <w:rFonts w:cs="Arial"/>
          <w:lang w:val="en-GB"/>
        </w:rPr>
        <w:t xml:space="preserve">school </w:t>
      </w:r>
      <w:r w:rsidR="00F87C4D">
        <w:rPr>
          <w:rFonts w:cs="Arial"/>
          <w:lang w:val="en-GB"/>
        </w:rPr>
        <w:t xml:space="preserve">experiences </w:t>
      </w:r>
      <w:r w:rsidR="00D943FA">
        <w:rPr>
          <w:rFonts w:cs="Arial"/>
          <w:lang w:val="en-GB"/>
        </w:rPr>
        <w:t xml:space="preserve">come </w:t>
      </w:r>
      <w:r w:rsidR="00F87C4D">
        <w:rPr>
          <w:rFonts w:cs="Arial"/>
          <w:lang w:val="en-GB"/>
        </w:rPr>
        <w:t xml:space="preserve">into play in </w:t>
      </w:r>
      <w:r w:rsidR="000C6E89">
        <w:rPr>
          <w:rFonts w:cs="Arial"/>
          <w:lang w:val="en-GB"/>
        </w:rPr>
        <w:t xml:space="preserve">how they </w:t>
      </w:r>
      <w:r w:rsidR="00D943FA">
        <w:rPr>
          <w:rFonts w:cs="Arial"/>
          <w:lang w:val="en-GB"/>
        </w:rPr>
        <w:t xml:space="preserve">react to different kinds of tasks </w:t>
      </w:r>
      <w:r w:rsidR="00770006">
        <w:rPr>
          <w:rFonts w:cs="Arial"/>
          <w:lang w:val="en-GB"/>
        </w:rPr>
        <w:t>in</w:t>
      </w:r>
      <w:r w:rsidR="00D943FA">
        <w:rPr>
          <w:rFonts w:cs="Arial"/>
          <w:lang w:val="en-GB"/>
        </w:rPr>
        <w:t xml:space="preserve"> the university sessions</w:t>
      </w:r>
      <w:r w:rsidR="00F87C4D">
        <w:rPr>
          <w:rFonts w:cs="Arial"/>
          <w:lang w:val="en-GB"/>
        </w:rPr>
        <w:t>.</w:t>
      </w:r>
      <w:r w:rsidR="00D943FA">
        <w:rPr>
          <w:rFonts w:cs="Arial"/>
          <w:lang w:val="en-GB"/>
        </w:rPr>
        <w:t xml:space="preserve">  In our planning and teaching of these sessions, we take account of this background knowledge and experiences</w:t>
      </w:r>
      <w:r w:rsidR="00100AB4">
        <w:rPr>
          <w:rFonts w:cs="Arial"/>
          <w:lang w:val="en-GB"/>
        </w:rPr>
        <w:t xml:space="preserve"> in the design and sequencing of tasks</w:t>
      </w:r>
      <w:r w:rsidR="00D943FA">
        <w:rPr>
          <w:rFonts w:cs="Arial"/>
          <w:lang w:val="en-GB"/>
        </w:rPr>
        <w:t>.</w:t>
      </w:r>
    </w:p>
    <w:p w:rsidR="00100AB4" w:rsidRDefault="0086105D" w:rsidP="00ED33BE">
      <w:r w:rsidRPr="00EF34E0">
        <w:t xml:space="preserve">In our </w:t>
      </w:r>
      <w:r w:rsidR="00B0584A">
        <w:t xml:space="preserve">university-based </w:t>
      </w:r>
      <w:r w:rsidRPr="00EF34E0">
        <w:t xml:space="preserve">work with prospective secondary mathematics teachers we use tasks as mediating tools.  For example, through engaging </w:t>
      </w:r>
      <w:r w:rsidR="00ED33BE">
        <w:t>them</w:t>
      </w:r>
      <w:r w:rsidRPr="00EF34E0">
        <w:t xml:space="preserve"> in mathematical tasks we promote reflection on </w:t>
      </w:r>
      <w:r w:rsidR="00ED33BE">
        <w:t>their own</w:t>
      </w:r>
      <w:r w:rsidRPr="00EF34E0">
        <w:t xml:space="preserve"> mathematical activity and also on pedagogical implications of this activity. </w:t>
      </w:r>
      <w:r w:rsidR="00100AB4">
        <w:t>This</w:t>
      </w:r>
      <w:r w:rsidR="00100AB4" w:rsidRPr="00EF34E0">
        <w:t xml:space="preserve"> interplay between mathematical and pedagogical issues helps to illustrate, and to give </w:t>
      </w:r>
      <w:r w:rsidR="00710C36">
        <w:t>them</w:t>
      </w:r>
      <w:r w:rsidR="00100AB4" w:rsidRPr="00EF34E0">
        <w:t xml:space="preserve"> experience of, the subject specific didactics of mathematics with its layers of increasingly general and abstract mathematical meaning explored through</w:t>
      </w:r>
      <w:r w:rsidR="00100AB4">
        <w:t xml:space="preserve"> </w:t>
      </w:r>
      <w:r w:rsidR="00100AB4" w:rsidRPr="00EF34E0">
        <w:t>the use of mathematical modes of enquiry.</w:t>
      </w:r>
      <w:r w:rsidR="00100AB4">
        <w:t xml:space="preserve"> In this paper, we make a distinction between general pedagogic issues that could apply to any subject and aspects of teaching that are specific for learning mathematics. The latter we call ‘didactics’ and one way in which our students encounter these ideas is by taking a pedagogical stance towards the work we do with them.</w:t>
      </w:r>
    </w:p>
    <w:p w:rsidR="00100AB4" w:rsidRDefault="0086105D" w:rsidP="0086105D">
      <w:r w:rsidRPr="00EF34E0">
        <w:t>Possible pedagogical issues</w:t>
      </w:r>
      <w:r w:rsidR="00100AB4">
        <w:t xml:space="preserve"> </w:t>
      </w:r>
      <w:r w:rsidRPr="00EF34E0">
        <w:t>include the selection, modification, design, sequencing, and evaluation of tasks</w:t>
      </w:r>
      <w:r w:rsidR="00ED33BE">
        <w:t>, thus requiring two levels of engagement with mathematical tasks: firstly as a prompt to mathematical action, and secondly as examples of what they themselves might produce or use in the classroom</w:t>
      </w:r>
      <w:r w:rsidRPr="00EF34E0">
        <w:t>. So, although these prospective teachers are generally strong mathematicians (with</w:t>
      </w:r>
      <w:r w:rsidR="00770006">
        <w:t xml:space="preserve"> at least a</w:t>
      </w:r>
      <w:r w:rsidRPr="00EF34E0">
        <w:t xml:space="preserve"> bachelor’s degrees in mathematics or the equivalent), they get opportunities to reflect on their own learning of mathematics </w:t>
      </w:r>
      <w:r w:rsidR="00ED33BE">
        <w:t>and</w:t>
      </w:r>
      <w:r w:rsidRPr="00EF34E0">
        <w:t xml:space="preserve"> also to </w:t>
      </w:r>
      <w:r w:rsidR="00407724">
        <w:t>(</w:t>
      </w:r>
      <w:r w:rsidRPr="00EF34E0">
        <w:t>explicitly or implicitly</w:t>
      </w:r>
      <w:r w:rsidR="00407724">
        <w:t>)</w:t>
      </w:r>
      <w:r w:rsidRPr="00EF34E0">
        <w:t xml:space="preserve"> become more insightful and articulate about the didactics of mathematics.</w:t>
      </w:r>
      <w:r w:rsidR="00ED33BE">
        <w:t xml:space="preserve"> Because we are hoping they will reflect not only on their own actions but also on the milieu that shapes those actions, our teaching aims to scaffold their shifts between different reflective perspectives, gradually introducing them to </w:t>
      </w:r>
      <w:r w:rsidR="00407724">
        <w:t>different issues that are involved in mathematics teaching and learning</w:t>
      </w:r>
      <w:r w:rsidR="00ED33BE">
        <w:t>.</w:t>
      </w:r>
    </w:p>
    <w:p w:rsidR="0086105D" w:rsidRPr="00EF34E0" w:rsidRDefault="00ED33BE" w:rsidP="00ED33BE">
      <w:r w:rsidRPr="00EF34E0">
        <w:t>There</w:t>
      </w:r>
      <w:r w:rsidR="00B0584A">
        <w:t xml:space="preserve"> </w:t>
      </w:r>
      <w:r w:rsidR="0086105D" w:rsidRPr="00EF34E0">
        <w:t>is often a tacit assumption</w:t>
      </w:r>
      <w:r w:rsidR="00D26E74">
        <w:t xml:space="preserve"> among publishers</w:t>
      </w:r>
      <w:r w:rsidR="00E13353">
        <w:t xml:space="preserve"> of school textbooks</w:t>
      </w:r>
      <w:r w:rsidR="00D26E74">
        <w:t xml:space="preserve"> and between inexperienced teachers</w:t>
      </w:r>
      <w:r w:rsidR="0086105D" w:rsidRPr="00EF34E0">
        <w:t xml:space="preserve"> that the implementation of mathematical tasks chosen or designed by the teacher in a school classroom</w:t>
      </w:r>
      <w:r>
        <w:t xml:space="preserve"> </w:t>
      </w:r>
      <w:r w:rsidR="0086105D" w:rsidRPr="00EF34E0">
        <w:t xml:space="preserve">will </w:t>
      </w:r>
      <w:r w:rsidR="00E13353">
        <w:t>lead to</w:t>
      </w:r>
      <w:r w:rsidR="0086105D" w:rsidRPr="00EF34E0">
        <w:t xml:space="preserve"> the </w:t>
      </w:r>
      <w:r w:rsidR="000B5CB3">
        <w:t xml:space="preserve">intended </w:t>
      </w:r>
      <w:r w:rsidR="0086105D" w:rsidRPr="00EF34E0">
        <w:t xml:space="preserve">student learning. This view is persistent despite </w:t>
      </w:r>
      <w:r w:rsidR="007103D7">
        <w:t xml:space="preserve">extensive </w:t>
      </w:r>
      <w:r w:rsidR="0086105D" w:rsidRPr="00EF34E0">
        <w:t xml:space="preserve">research that </w:t>
      </w:r>
      <w:r w:rsidR="000B5CB3">
        <w:t>indicates</w:t>
      </w:r>
      <w:r w:rsidR="0086105D" w:rsidRPr="00EF34E0">
        <w:t xml:space="preserve"> that this is not a direct relationship (e.g., </w:t>
      </w:r>
      <w:proofErr w:type="spellStart"/>
      <w:r w:rsidR="0086105D" w:rsidRPr="00EF34E0">
        <w:t>Henningsen</w:t>
      </w:r>
      <w:proofErr w:type="spellEnd"/>
      <w:r w:rsidR="000B5CB3">
        <w:t xml:space="preserve"> </w:t>
      </w:r>
      <w:r w:rsidR="0086105D" w:rsidRPr="00EF34E0">
        <w:t>&amp; Stein, 1997; Margolinas, 2004, 2005; Stylianides &amp; Stylianides, 2008). Seemingly minor differences in the design or implementation of tasks can have significant effects on learning</w:t>
      </w:r>
      <w:r w:rsidR="00D26E74">
        <w:t xml:space="preserve"> </w:t>
      </w:r>
      <w:r w:rsidR="0086105D" w:rsidRPr="00EF34E0">
        <w:t xml:space="preserve">(e.g., </w:t>
      </w:r>
      <w:proofErr w:type="spellStart"/>
      <w:r w:rsidR="0086105D" w:rsidRPr="00EF34E0">
        <w:t>Runesson</w:t>
      </w:r>
      <w:proofErr w:type="spellEnd"/>
      <w:r w:rsidR="0086105D" w:rsidRPr="00EF34E0">
        <w:t>, 2005) as can differences in aspects of milieu; we try to make prospective teachers aware of</w:t>
      </w:r>
      <w:r w:rsidR="00D26E74">
        <w:t xml:space="preserve"> the effects </w:t>
      </w:r>
      <w:r w:rsidR="000B5CB3">
        <w:t>of</w:t>
      </w:r>
      <w:r w:rsidR="00D26E74">
        <w:t xml:space="preserve"> subtle differences</w:t>
      </w:r>
      <w:r w:rsidR="00100AB4">
        <w:t>, for example, by asking them to reflect on their own mathematical activity and on their classroom experiences</w:t>
      </w:r>
      <w:r w:rsidR="0086105D" w:rsidRPr="00EF34E0">
        <w:t>. In secondary school mathematics teaching</w:t>
      </w:r>
      <w:r w:rsidR="00AD454B">
        <w:t>,</w:t>
      </w:r>
      <w:r w:rsidR="0086105D" w:rsidRPr="00EF34E0">
        <w:t xml:space="preserve"> it is particularly important to understand that tasks on their </w:t>
      </w:r>
      <w:r w:rsidR="0086105D" w:rsidRPr="00EF34E0">
        <w:lastRenderedPageBreak/>
        <w:t>own cannot scaffold the shifts in perception and cognition required to understand abstract mathematical ideas. In the two task sequences we present below</w:t>
      </w:r>
      <w:r w:rsidR="00AD454B">
        <w:t>,</w:t>
      </w:r>
      <w:r w:rsidR="0086105D" w:rsidRPr="00EF34E0">
        <w:t xml:space="preserve"> prospective teachers are explicitly invited to consider differences in task formulation. To understand how tasks can be linked in order to support teaching, it is important to understand the nature of the transformation of knowledge from the implicit knowledge-in-action used by confident students (see </w:t>
      </w:r>
      <w:proofErr w:type="spellStart"/>
      <w:r w:rsidR="0086105D" w:rsidRPr="00EF34E0">
        <w:t>Vergnaud</w:t>
      </w:r>
      <w:proofErr w:type="spellEnd"/>
      <w:r w:rsidR="0086105D" w:rsidRPr="00EF34E0">
        <w:t>, 1982) to</w:t>
      </w:r>
      <w:r w:rsidR="00D26E74">
        <w:t xml:space="preserve"> the</w:t>
      </w:r>
      <w:r w:rsidR="0086105D" w:rsidRPr="00EF34E0">
        <w:t xml:space="preserve"> knowledge which is explicitly formulated, </w:t>
      </w:r>
      <w:proofErr w:type="spellStart"/>
      <w:r w:rsidR="0086105D" w:rsidRPr="00EF34E0">
        <w:t>formalised</w:t>
      </w:r>
      <w:proofErr w:type="spellEnd"/>
      <w:r w:rsidR="0086105D" w:rsidRPr="00EF34E0">
        <w:t xml:space="preserve"> and </w:t>
      </w:r>
      <w:proofErr w:type="spellStart"/>
      <w:r w:rsidR="0086105D" w:rsidRPr="00EF34E0">
        <w:t>memorised</w:t>
      </w:r>
      <w:proofErr w:type="spellEnd"/>
      <w:r w:rsidR="0086105D" w:rsidRPr="00EF34E0">
        <w:t xml:space="preserve"> that they must handle as teachers. This thinking underpins sequences we present </w:t>
      </w:r>
      <w:r w:rsidR="00710C36">
        <w:t>in our sessions</w:t>
      </w:r>
      <w:r w:rsidR="0086105D" w:rsidRPr="00EF34E0">
        <w:t>.</w:t>
      </w:r>
    </w:p>
    <w:p w:rsidR="007F7AA3" w:rsidRPr="00EF34E0" w:rsidRDefault="0086105D" w:rsidP="00072E03">
      <w:r w:rsidRPr="00EF34E0">
        <w:t>There is significant</w:t>
      </w:r>
      <w:r w:rsidR="00072E03">
        <w:t xml:space="preserve"> recent</w:t>
      </w:r>
      <w:r w:rsidRPr="00EF34E0">
        <w:t xml:space="preserve"> interest in the multilayered roles of tasks in mathematics teacher education</w:t>
      </w:r>
      <w:r w:rsidR="00641058">
        <w:t>, including tasks that help teachers think about classroom tasks</w:t>
      </w:r>
      <w:r w:rsidRPr="00EF34E0">
        <w:t xml:space="preserve">. </w:t>
      </w:r>
      <w:proofErr w:type="spellStart"/>
      <w:r w:rsidRPr="00EF34E0">
        <w:t>Zaslavsky</w:t>
      </w:r>
      <w:proofErr w:type="spellEnd"/>
      <w:r w:rsidRPr="00EF34E0">
        <w:t xml:space="preserve"> and Sullivan (2011)</w:t>
      </w:r>
      <w:r w:rsidR="000E25CB">
        <w:t xml:space="preserve"> </w:t>
      </w:r>
      <w:r w:rsidR="00072E03">
        <w:t xml:space="preserve">have </w:t>
      </w:r>
      <w:r w:rsidRPr="00EF34E0">
        <w:t xml:space="preserve">coordinated </w:t>
      </w:r>
      <w:r w:rsidR="00D26E74">
        <w:t>the diversity of approaches to</w:t>
      </w:r>
      <w:r w:rsidR="00072E03">
        <w:t xml:space="preserve"> tasks for mathematics</w:t>
      </w:r>
      <w:r w:rsidR="00D26E74">
        <w:t xml:space="preserve"> teacher education, some of the goals being pedagogic, some being about development of professional habits of mind, and some </w:t>
      </w:r>
      <w:r w:rsidR="00792F39">
        <w:t xml:space="preserve">about </w:t>
      </w:r>
      <w:r w:rsidR="00D26E74">
        <w:t xml:space="preserve">developing didactic awareness. </w:t>
      </w:r>
      <w:r w:rsidR="007F7AA3" w:rsidRPr="00EF34E0">
        <w:t>Watson and Mason</w:t>
      </w:r>
      <w:r w:rsidR="00072E03">
        <w:t xml:space="preserve">’s </w:t>
      </w:r>
      <w:r w:rsidR="00AD454B" w:rsidRPr="00EF34E0">
        <w:t xml:space="preserve">(2008, pp. </w:t>
      </w:r>
      <w:r w:rsidR="00AD454B">
        <w:t>207-8</w:t>
      </w:r>
      <w:r w:rsidR="00AD454B" w:rsidRPr="00EF34E0">
        <w:t>)</w:t>
      </w:r>
      <w:r w:rsidR="00AD454B">
        <w:t xml:space="preserve"> </w:t>
      </w:r>
      <w:r w:rsidR="00072E03">
        <w:t>overview</w:t>
      </w:r>
      <w:r w:rsidR="007F7AA3" w:rsidRPr="00EF34E0">
        <w:t xml:space="preserve"> </w:t>
      </w:r>
      <w:r w:rsidR="007B3B6C">
        <w:t xml:space="preserve">of tasks </w:t>
      </w:r>
      <w:r w:rsidR="00072E03">
        <w:t>focuses on the development of didactic awareness through engaging teachers in mathematics, thus</w:t>
      </w:r>
      <w:r w:rsidR="007F7AA3" w:rsidRPr="00EF34E0">
        <w:t>:</w:t>
      </w:r>
    </w:p>
    <w:p w:rsidR="007F7AA3" w:rsidRPr="00EF34E0" w:rsidRDefault="007F7AA3" w:rsidP="00850368">
      <w:pPr>
        <w:numPr>
          <w:ilvl w:val="0"/>
          <w:numId w:val="1"/>
        </w:numPr>
        <w:spacing w:after="0" w:line="240" w:lineRule="auto"/>
      </w:pPr>
      <w:r w:rsidRPr="00EF34E0">
        <w:t>bringing aspects of mathematical knowledge to the fore in ways that promote deep understanding;</w:t>
      </w:r>
    </w:p>
    <w:p w:rsidR="007F7AA3" w:rsidRPr="00EF34E0" w:rsidRDefault="007F7AA3" w:rsidP="00850368">
      <w:pPr>
        <w:numPr>
          <w:ilvl w:val="0"/>
          <w:numId w:val="1"/>
        </w:numPr>
        <w:spacing w:after="0" w:line="240" w:lineRule="auto"/>
      </w:pPr>
      <w:r w:rsidRPr="00EF34E0">
        <w:t>bringing aspects of mathematical thinking to</w:t>
      </w:r>
      <w:r w:rsidR="00641058">
        <w:t xml:space="preserve"> the</w:t>
      </w:r>
      <w:r w:rsidRPr="00EF34E0">
        <w:t xml:space="preserve"> attention</w:t>
      </w:r>
      <w:r w:rsidR="00641058">
        <w:t xml:space="preserve"> of teachers</w:t>
      </w:r>
      <w:r w:rsidRPr="00EF34E0">
        <w:t xml:space="preserve"> and providing a context for articulation of them;</w:t>
      </w:r>
    </w:p>
    <w:p w:rsidR="007F7AA3" w:rsidRPr="00EF34E0" w:rsidRDefault="007F7AA3" w:rsidP="00850368">
      <w:pPr>
        <w:numPr>
          <w:ilvl w:val="0"/>
          <w:numId w:val="1"/>
        </w:numPr>
        <w:spacing w:after="0" w:line="240" w:lineRule="auto"/>
      </w:pPr>
      <w:r w:rsidRPr="00EF34E0">
        <w:t>develo</w:t>
      </w:r>
      <w:r w:rsidR="00CD3AA6">
        <w:t>p</w:t>
      </w:r>
      <w:r w:rsidR="000D62E5">
        <w:t>ing</w:t>
      </w:r>
      <w:r w:rsidRPr="00EF34E0">
        <w:t xml:space="preserve"> awareness of multiple perspectives through task-</w:t>
      </w:r>
      <w:proofErr w:type="spellStart"/>
      <w:r w:rsidRPr="00EF34E0">
        <w:t>centred</w:t>
      </w:r>
      <w:proofErr w:type="spellEnd"/>
      <w:r w:rsidRPr="00EF34E0">
        <w:t xml:space="preserve"> discussion</w:t>
      </w:r>
      <w:r w:rsidR="008F0AF3">
        <w:t>; and</w:t>
      </w:r>
    </w:p>
    <w:p w:rsidR="00792F39" w:rsidRPr="00EF34E0" w:rsidRDefault="007F7AA3" w:rsidP="00850368">
      <w:pPr>
        <w:numPr>
          <w:ilvl w:val="0"/>
          <w:numId w:val="1"/>
        </w:numPr>
        <w:spacing w:after="0" w:line="240" w:lineRule="auto"/>
      </w:pPr>
      <w:r w:rsidRPr="00EF34E0">
        <w:t>focusing on didactic decisions relevant for specific topics</w:t>
      </w:r>
      <w:r w:rsidR="008F0AF3">
        <w:t>.</w:t>
      </w:r>
    </w:p>
    <w:p w:rsidR="007F7AA3" w:rsidRDefault="007F7AA3" w:rsidP="00850368">
      <w:pPr>
        <w:spacing w:after="0" w:line="240" w:lineRule="auto"/>
        <w:ind w:left="720"/>
      </w:pPr>
    </w:p>
    <w:p w:rsidR="0086105D" w:rsidRPr="0060100A" w:rsidRDefault="0086105D" w:rsidP="0086105D">
      <w:r w:rsidRPr="00EF34E0">
        <w:t xml:space="preserve">In our work, </w:t>
      </w:r>
      <w:r w:rsidR="008A4703">
        <w:t xml:space="preserve">in common with many examples </w:t>
      </w:r>
      <w:r w:rsidR="00B16F4C">
        <w:t xml:space="preserve">discussed in </w:t>
      </w:r>
      <w:r w:rsidR="008A4703">
        <w:t xml:space="preserve">Watson and Mason </w:t>
      </w:r>
      <w:r w:rsidR="00B16F4C">
        <w:t>(2008)</w:t>
      </w:r>
      <w:r w:rsidR="008A4703">
        <w:t xml:space="preserve">, </w:t>
      </w:r>
      <w:r w:rsidRPr="00EF34E0">
        <w:t xml:space="preserve">we </w:t>
      </w:r>
      <w:proofErr w:type="spellStart"/>
      <w:r w:rsidR="00D26E74">
        <w:t>prioritise</w:t>
      </w:r>
      <w:proofErr w:type="spellEnd"/>
      <w:r w:rsidR="00D26E74">
        <w:t xml:space="preserve"> </w:t>
      </w:r>
      <w:r w:rsidRPr="00EF34E0">
        <w:t xml:space="preserve">the didactics of mathematics, namely specific modes of enquiry, reasoning and </w:t>
      </w:r>
      <w:proofErr w:type="spellStart"/>
      <w:r w:rsidRPr="00EF34E0">
        <w:t>behaviour</w:t>
      </w:r>
      <w:proofErr w:type="spellEnd"/>
      <w:r w:rsidRPr="00EF34E0">
        <w:t xml:space="preserve"> such as questioning, </w:t>
      </w:r>
      <w:proofErr w:type="spellStart"/>
      <w:r w:rsidRPr="00EF34E0">
        <w:t>symbolising</w:t>
      </w:r>
      <w:proofErr w:type="spellEnd"/>
      <w:r w:rsidRPr="00EF34E0">
        <w:t>, representing and switching representation, generalizing, abstracting and interpreting in mathematical contexts. Thus, for example,</w:t>
      </w:r>
      <w:r w:rsidR="00D26E74">
        <w:t xml:space="preserve"> </w:t>
      </w:r>
      <w:r w:rsidRPr="00EF34E0">
        <w:t>any tasks for which the immediate (or primary) engagement of prospective teachers is mathematical activity</w:t>
      </w:r>
      <w:r w:rsidR="00D26E74">
        <w:t xml:space="preserve"> </w:t>
      </w:r>
      <w:r w:rsidRPr="00EF34E0">
        <w:t>would provide not only</w:t>
      </w:r>
      <w:r w:rsidR="00D26E74">
        <w:t xml:space="preserve"> </w:t>
      </w:r>
      <w:r w:rsidRPr="00EF34E0">
        <w:t>mathematical experiences but also</w:t>
      </w:r>
      <w:r w:rsidR="00D26E74">
        <w:t xml:space="preserve"> </w:t>
      </w:r>
      <w:r w:rsidRPr="00EF34E0">
        <w:t>didactical experiences and a context for the broader pedagogical purposes outlined above</w:t>
      </w:r>
      <w:r w:rsidR="007F7AA3">
        <w:t xml:space="preserve"> </w:t>
      </w:r>
      <w:r w:rsidRPr="00EF34E0">
        <w:t xml:space="preserve">(Watson </w:t>
      </w:r>
      <w:r w:rsidR="00B16F4C">
        <w:t>&amp;</w:t>
      </w:r>
      <w:r w:rsidR="00B16F4C" w:rsidRPr="00EF34E0">
        <w:t xml:space="preserve"> </w:t>
      </w:r>
      <w:r w:rsidRPr="00EF34E0">
        <w:t>Bills, 2011</w:t>
      </w:r>
      <w:r w:rsidR="000E25CB">
        <w:t>)</w:t>
      </w:r>
      <w:r w:rsidR="008F0AF3">
        <w:t>;</w:t>
      </w:r>
      <w:r w:rsidRPr="00EF34E0">
        <w:t xml:space="preserve"> </w:t>
      </w:r>
      <w:r w:rsidR="008F0AF3">
        <w:t>t</w:t>
      </w:r>
      <w:r w:rsidRPr="00EF34E0">
        <w:t xml:space="preserve">his kind of task is similar to what Stylianides and Stylianides </w:t>
      </w:r>
      <w:r w:rsidR="008F0AF3">
        <w:t>(</w:t>
      </w:r>
      <w:r w:rsidRPr="00EF34E0">
        <w:t>2010, pp. 163-165</w:t>
      </w:r>
      <w:r w:rsidR="008F0AF3">
        <w:t>)</w:t>
      </w:r>
      <w:r w:rsidRPr="00EF34E0">
        <w:t xml:space="preserve"> called ‘pedagogy-related mathematics tasks’.</w:t>
      </w:r>
      <w:r w:rsidR="00D26E74">
        <w:t xml:space="preserve"> </w:t>
      </w:r>
      <w:r w:rsidR="00023654">
        <w:t>Along the same lines</w:t>
      </w:r>
      <w:r w:rsidRPr="00EF34E0">
        <w:t>, tasks for which the immediate</w:t>
      </w:r>
      <w:r w:rsidR="002F6F54">
        <w:t xml:space="preserve"> </w:t>
      </w:r>
      <w:r w:rsidRPr="00EF34E0">
        <w:t>(or primary) engagement of prospective teachers is pedagogical activity would be rooted in the teaching and learning of important mathematical ideas and would generate discussion around the particular mathematical content</w:t>
      </w:r>
      <w:r w:rsidR="008F0AF3">
        <w:t>; t</w:t>
      </w:r>
      <w:r w:rsidRPr="00EF34E0">
        <w:t>h</w:t>
      </w:r>
      <w:r w:rsidR="00AD454B">
        <w:t>ese</w:t>
      </w:r>
      <w:r w:rsidRPr="00EF34E0">
        <w:t xml:space="preserve"> </w:t>
      </w:r>
      <w:r w:rsidR="00AD454B">
        <w:t>types</w:t>
      </w:r>
      <w:r w:rsidR="00E13353">
        <w:t xml:space="preserve"> </w:t>
      </w:r>
      <w:r w:rsidRPr="00EF34E0">
        <w:t xml:space="preserve">of tasks </w:t>
      </w:r>
      <w:r w:rsidR="00AD454B">
        <w:t>are</w:t>
      </w:r>
      <w:r w:rsidR="00E13353">
        <w:t xml:space="preserve"> </w:t>
      </w:r>
      <w:r w:rsidRPr="00EF34E0">
        <w:t xml:space="preserve">similar to what Stylianides and Stylianides </w:t>
      </w:r>
      <w:r w:rsidR="008F0AF3">
        <w:t>(</w:t>
      </w:r>
      <w:r w:rsidRPr="00EF34E0">
        <w:t>2010, p. 171</w:t>
      </w:r>
      <w:r w:rsidR="008F0AF3">
        <w:t>)</w:t>
      </w:r>
      <w:r w:rsidRPr="00EF34E0">
        <w:t xml:space="preserve"> called ‘</w:t>
      </w:r>
      <w:r w:rsidR="00B16F4C">
        <w:t>mathematics</w:t>
      </w:r>
      <w:r w:rsidRPr="00EF34E0">
        <w:t xml:space="preserve">-related </w:t>
      </w:r>
      <w:r w:rsidR="00B16F4C">
        <w:t>pedagogy</w:t>
      </w:r>
      <w:r w:rsidR="00B16F4C" w:rsidRPr="00EF34E0">
        <w:t xml:space="preserve"> </w:t>
      </w:r>
      <w:r w:rsidRPr="00EF34E0">
        <w:t>tasks’.</w:t>
      </w:r>
      <w:r w:rsidR="007F7AA3">
        <w:t xml:space="preserve"> Our reason </w:t>
      </w:r>
      <w:r w:rsidR="00791429">
        <w:t>for</w:t>
      </w:r>
      <w:r w:rsidR="007F7AA3">
        <w:t xml:space="preserve"> these priorities </w:t>
      </w:r>
      <w:r w:rsidR="00641058">
        <w:t>is</w:t>
      </w:r>
      <w:r w:rsidR="007F7AA3">
        <w:t xml:space="preserve"> that generic pedagogic </w:t>
      </w:r>
      <w:r w:rsidR="007F7AA3" w:rsidRPr="00023654">
        <w:t>knowledge can be gained in the school-based components of the course, as can enculturation into professional habits of mind, whereas</w:t>
      </w:r>
      <w:r w:rsidR="007F7AA3">
        <w:t xml:space="preserve"> </w:t>
      </w:r>
      <w:r w:rsidR="00DF20B3">
        <w:t>learning about subject-</w:t>
      </w:r>
      <w:r w:rsidR="007F7AA3">
        <w:t xml:space="preserve">specific </w:t>
      </w:r>
      <w:r w:rsidR="00DF20B3">
        <w:t>teaching</w:t>
      </w:r>
      <w:r w:rsidR="007F7AA3">
        <w:t xml:space="preserve"> has to </w:t>
      </w:r>
      <w:r w:rsidR="00641058">
        <w:t>include</w:t>
      </w:r>
      <w:r w:rsidR="007F7AA3">
        <w:t xml:space="preserve"> research-</w:t>
      </w:r>
      <w:r w:rsidR="00641058">
        <w:t>based</w:t>
      </w:r>
      <w:r w:rsidR="007F7AA3">
        <w:t xml:space="preserve"> knowledge</w:t>
      </w:r>
      <w:r w:rsidR="00DF20B3">
        <w:t>.</w:t>
      </w:r>
      <w:r w:rsidR="007F7AA3">
        <w:t xml:space="preserve">  University</w:t>
      </w:r>
      <w:r w:rsidR="00DF20B3">
        <w:t xml:space="preserve"> teacher educators,</w:t>
      </w:r>
      <w:r w:rsidR="00641058">
        <w:t xml:space="preserve"> who are </w:t>
      </w:r>
      <w:r w:rsidR="001545A6">
        <w:t xml:space="preserve">more </w:t>
      </w:r>
      <w:r w:rsidR="00641058">
        <w:t>familiar with research findings and methods,</w:t>
      </w:r>
      <w:r w:rsidR="007F7AA3">
        <w:t xml:space="preserve"> </w:t>
      </w:r>
      <w:r w:rsidR="00023654">
        <w:t>provide</w:t>
      </w:r>
      <w:r w:rsidR="00DF20B3">
        <w:t xml:space="preserve"> a critical context for input and discussion</w:t>
      </w:r>
      <w:r w:rsidR="00023654">
        <w:t xml:space="preserve"> about research-informed practices</w:t>
      </w:r>
      <w:r w:rsidR="007F7AA3" w:rsidRPr="0060100A">
        <w:t>.</w:t>
      </w:r>
    </w:p>
    <w:p w:rsidR="0086105D" w:rsidRPr="00EF34E0" w:rsidRDefault="0086105D" w:rsidP="0086105D">
      <w:r w:rsidRPr="0060100A">
        <w:t xml:space="preserve">One of the tensions that arise in working with (prospective) teachers is that they often want something they can use </w:t>
      </w:r>
      <w:r w:rsidR="00AD454B">
        <w:t xml:space="preserve">to teach </w:t>
      </w:r>
      <w:r w:rsidRPr="0060100A">
        <w:t xml:space="preserve">in their classrooms. We establish early on with our class of </w:t>
      </w:r>
      <w:r w:rsidR="00B16F4C">
        <w:t>about 30</w:t>
      </w:r>
      <w:r w:rsidRPr="0060100A">
        <w:t xml:space="preserve"> prospective </w:t>
      </w:r>
      <w:r w:rsidR="00CD1C9E" w:rsidRPr="0060100A">
        <w:t>secondary mathematics</w:t>
      </w:r>
      <w:r w:rsidR="00CD1C9E">
        <w:t xml:space="preserve"> </w:t>
      </w:r>
      <w:r w:rsidRPr="00EF34E0">
        <w:t xml:space="preserve">teachers that doing a mathematical task is a way to experience for themselves </w:t>
      </w:r>
      <w:r w:rsidRPr="00EF34E0">
        <w:lastRenderedPageBreak/>
        <w:t>at their own level something of what their students might experience.  This becomes a cultural norm of our classroom. However, our situation is not ‘realistic’ because the tasks and activities of our sessions are not the tasks and activities of school teaching</w:t>
      </w:r>
      <w:r w:rsidR="0060100A">
        <w:t>, even if some tasks may be adaptable to the school context</w:t>
      </w:r>
      <w:r w:rsidRPr="00EF34E0">
        <w:t xml:space="preserve">.  The teacher education milieu is not the same as that of a school classroom; ‘reality’ has to be constructed through </w:t>
      </w:r>
      <w:proofErr w:type="spellStart"/>
      <w:r w:rsidRPr="00EF34E0">
        <w:t>internalisation</w:t>
      </w:r>
      <w:proofErr w:type="spellEnd"/>
      <w:r w:rsidRPr="00EF34E0">
        <w:t xml:space="preserve"> rather than immediate action. For this reason we are particularly interested in what prospective teachers identify as the key ideas of a session and how they envision using these ideas in their practice (e.g. possible implications of these ideas for their practice).  Their direct experience in sessions has therefore to be objectified, perhaps through structuring and discussion, to make it more likely that </w:t>
      </w:r>
      <w:r w:rsidR="0084212B">
        <w:t xml:space="preserve">the experience can inform their </w:t>
      </w:r>
      <w:r w:rsidRPr="00EF34E0">
        <w:t xml:space="preserve">future thinking and planning. </w:t>
      </w:r>
      <w:r w:rsidR="007F7AA3" w:rsidRPr="00EF34E0">
        <w:t xml:space="preserve">In our planning, therefore, we think about the activity that might be prompted by doing a task, and how discussion of the activity can bring new insights about learning and teaching mathematics into the public arena. </w:t>
      </w:r>
    </w:p>
    <w:p w:rsidR="0086105D" w:rsidRPr="00EF34E0" w:rsidRDefault="0086105D" w:rsidP="0086105D">
      <w:r w:rsidRPr="00EF34E0">
        <w:t xml:space="preserve">The task sequences we describe below have been carefully developed over time for particular purposes.  The first sequence was </w:t>
      </w:r>
      <w:r w:rsidR="0060100A">
        <w:t xml:space="preserve">designed and </w:t>
      </w:r>
      <w:r w:rsidRPr="00EF34E0">
        <w:t>implemented by Stylianides and the second by Watson; each sequence was implemented during a two-hour session.</w:t>
      </w:r>
      <w:r w:rsidR="007F7AA3">
        <w:t xml:space="preserve"> </w:t>
      </w:r>
      <w:r w:rsidRPr="00EF34E0">
        <w:t xml:space="preserve">We use these sequences at a time in the course when the classroom cultural norms described above are established. </w:t>
      </w:r>
      <w:r w:rsidR="0060100A">
        <w:t>Consistent with what we described above about ‘key ideas’ and also t</w:t>
      </w:r>
      <w:r w:rsidRPr="00EF34E0">
        <w:t xml:space="preserve">o gain further insight for this paper we </w:t>
      </w:r>
      <w:r w:rsidR="00710C36">
        <w:t>presented a questionnaire for immediate feedback</w:t>
      </w:r>
      <w:r w:rsidRPr="00EF34E0">
        <w:t xml:space="preserve"> at the end of each session on the two prompts </w:t>
      </w:r>
      <w:proofErr w:type="spellStart"/>
      <w:r w:rsidRPr="00EF34E0">
        <w:t>summarised</w:t>
      </w:r>
      <w:proofErr w:type="spellEnd"/>
      <w:r w:rsidRPr="00EF34E0">
        <w:t xml:space="preserve"> in Table 1. </w:t>
      </w:r>
      <w:r w:rsidR="004B5020">
        <w:t>P</w:t>
      </w:r>
      <w:r w:rsidRPr="00EF34E0">
        <w:t xml:space="preserve">rompt </w:t>
      </w:r>
      <w:r w:rsidR="004B5020">
        <w:t xml:space="preserve">1 </w:t>
      </w:r>
      <w:r w:rsidR="00AD454B">
        <w:t>asked</w:t>
      </w:r>
      <w:r w:rsidR="00AD454B" w:rsidRPr="00EF34E0">
        <w:t xml:space="preserve"> </w:t>
      </w:r>
      <w:r w:rsidR="00710C36">
        <w:t>for</w:t>
      </w:r>
      <w:r w:rsidRPr="00EF34E0">
        <w:t xml:space="preserve"> identif</w:t>
      </w:r>
      <w:r w:rsidR="00710C36">
        <w:t>ication of</w:t>
      </w:r>
      <w:r w:rsidRPr="00EF34E0">
        <w:t xml:space="preserve"> three key events during the session and to explain what made them ‘key’ for </w:t>
      </w:r>
      <w:r w:rsidR="001545A6">
        <w:t xml:space="preserve">our students, </w:t>
      </w:r>
      <w:r w:rsidR="00AD454B">
        <w:t>whilst</w:t>
      </w:r>
      <w:r w:rsidR="0084212B">
        <w:t xml:space="preserve"> </w:t>
      </w:r>
      <w:r w:rsidR="00E96CAB">
        <w:t>P</w:t>
      </w:r>
      <w:r w:rsidRPr="00EF34E0">
        <w:t xml:space="preserve">rompt </w:t>
      </w:r>
      <w:r w:rsidR="00E96CAB">
        <w:t xml:space="preserve">2 </w:t>
      </w:r>
      <w:r w:rsidR="00AD454B">
        <w:t>required them</w:t>
      </w:r>
      <w:r w:rsidR="0084212B">
        <w:t xml:space="preserve"> </w:t>
      </w:r>
      <w:r w:rsidRPr="00EF34E0">
        <w:t xml:space="preserve">to anticipate how the session may influence their future planning and teaching. </w:t>
      </w:r>
      <w:r w:rsidR="00E96CAB" w:rsidRPr="00EF34E0">
        <w:t>We shall now present the intentions, actions and outcomes of each of the two sessions</w:t>
      </w:r>
      <w:r w:rsidR="00221B8A">
        <w:t xml:space="preserve"> undertaken with one cohort of 29 prospective teachers</w:t>
      </w:r>
      <w:r w:rsidR="00E96CAB" w:rsidRPr="00EF34E0">
        <w:t>.</w:t>
      </w:r>
      <w:r w:rsidR="0068017A">
        <w:t xml:space="preserve"> Note that it is necessary to use mathematical terms and </w:t>
      </w:r>
      <w:r w:rsidR="00AD454B">
        <w:t xml:space="preserve">to </w:t>
      </w:r>
      <w:r w:rsidR="0068017A">
        <w:t>refer to mathematical concepts in order to show the didactic detail of our work</w:t>
      </w:r>
      <w:r w:rsidR="00AD454B">
        <w:t xml:space="preserve">. </w:t>
      </w:r>
      <w:r w:rsidR="0068017A">
        <w:t xml:space="preserve"> </w:t>
      </w:r>
      <w:r w:rsidR="00AD454B">
        <w:t>H</w:t>
      </w:r>
      <w:r w:rsidR="0068017A">
        <w:t>owever</w:t>
      </w:r>
      <w:r w:rsidR="00AD454B">
        <w:t>,</w:t>
      </w:r>
      <w:r w:rsidR="0068017A">
        <w:t xml:space="preserve"> we have written with general readers in mind and it should be possible to follow the discussion without needing to </w:t>
      </w:r>
      <w:r w:rsidR="007B3B6C">
        <w:t>fully understand the mathematical terms by treating them as placeholders for concepts</w:t>
      </w:r>
      <w:r w:rsidR="0068017A">
        <w:t>.</w:t>
      </w:r>
    </w:p>
    <w:p w:rsidR="0086105D" w:rsidRPr="00E96CAB" w:rsidRDefault="0086105D" w:rsidP="0086105D">
      <w:pPr>
        <w:rPr>
          <w:i/>
        </w:rPr>
      </w:pPr>
      <w:r w:rsidRPr="00E96CAB">
        <w:rPr>
          <w:i/>
        </w:rPr>
        <w:t xml:space="preserve">Table 1: The two prompts to which </w:t>
      </w:r>
      <w:r w:rsidR="00DC7594">
        <w:rPr>
          <w:i/>
        </w:rPr>
        <w:t>prospective teacher</w:t>
      </w:r>
      <w:r w:rsidRPr="00E96CAB">
        <w:rPr>
          <w:i/>
        </w:rPr>
        <w:t>s responded at the end of the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86105D" w:rsidRPr="008B2DC7" w:rsidTr="003F7775">
        <w:tc>
          <w:tcPr>
            <w:tcW w:w="9558" w:type="dxa"/>
          </w:tcPr>
          <w:p w:rsidR="0086105D" w:rsidRPr="002F6F54" w:rsidRDefault="0086105D" w:rsidP="002F6F54">
            <w:pPr>
              <w:numPr>
                <w:ilvl w:val="0"/>
                <w:numId w:val="13"/>
              </w:numPr>
              <w:spacing w:before="120" w:after="0" w:line="240" w:lineRule="auto"/>
              <w:rPr>
                <w:lang w:eastAsia="ja-JP"/>
              </w:rPr>
            </w:pPr>
            <w:r w:rsidRPr="002F6F54">
              <w:rPr>
                <w:lang w:eastAsia="ja-JP"/>
              </w:rPr>
              <w:t xml:space="preserve">Please describe briefly 2-3 key events in today’s session and explain what made them ‘key’ for you. </w:t>
            </w:r>
          </w:p>
          <w:p w:rsidR="0086105D" w:rsidRPr="002F6F54" w:rsidRDefault="0086105D" w:rsidP="004B5020">
            <w:pPr>
              <w:spacing w:after="0" w:line="240" w:lineRule="auto"/>
              <w:ind w:left="720"/>
              <w:rPr>
                <w:lang w:eastAsia="ja-JP"/>
              </w:rPr>
            </w:pPr>
            <w:r w:rsidRPr="002F6F54">
              <w:rPr>
                <w:lang w:eastAsia="ja-JP"/>
              </w:rPr>
              <w:t>(Note: Interpret the term “event” in any way that makes sense to you.  It could be, for example, a task, an activity, a question, a solution to a mathematical problem, a pedagogical issue, discussion about any of the aforementioned, etc.)</w:t>
            </w:r>
          </w:p>
          <w:p w:rsidR="0086105D" w:rsidRPr="008B2DC7" w:rsidRDefault="0086105D" w:rsidP="002F6F54">
            <w:pPr>
              <w:numPr>
                <w:ilvl w:val="0"/>
                <w:numId w:val="13"/>
              </w:numPr>
              <w:rPr>
                <w:sz w:val="24"/>
                <w:szCs w:val="24"/>
                <w:lang w:eastAsia="ja-JP"/>
              </w:rPr>
            </w:pPr>
            <w:r w:rsidRPr="002F6F54">
              <w:rPr>
                <w:lang w:eastAsia="ja-JP"/>
              </w:rPr>
              <w:t>Please write down 2-3 ideas about your future planning and teaching arising from today’s session.  Explain what about the session provoked those ideas.</w:t>
            </w:r>
          </w:p>
        </w:tc>
      </w:tr>
    </w:tbl>
    <w:p w:rsidR="0086105D" w:rsidRPr="00EF34E0" w:rsidRDefault="0086105D" w:rsidP="0086105D"/>
    <w:p w:rsidR="0086105D" w:rsidRPr="00EF34E0" w:rsidRDefault="0086105D" w:rsidP="0086105D"/>
    <w:p w:rsidR="00CD3AA6" w:rsidRDefault="00CD3AA6" w:rsidP="008204CA">
      <w:pPr>
        <w:pStyle w:val="Heading2"/>
        <w:jc w:val="center"/>
      </w:pPr>
      <w:r>
        <w:t>FIRST TASK SEQUENCE</w:t>
      </w:r>
    </w:p>
    <w:p w:rsidR="003F3E45" w:rsidRDefault="003F3E45" w:rsidP="003F3E45">
      <w:pPr>
        <w:spacing w:after="0" w:line="240" w:lineRule="auto"/>
      </w:pPr>
    </w:p>
    <w:p w:rsidR="0086105D" w:rsidRPr="00EF34E0" w:rsidRDefault="0086105D" w:rsidP="0086105D">
      <w:r w:rsidRPr="00EF34E0">
        <w:lastRenderedPageBreak/>
        <w:t xml:space="preserve">In Stylianides’ session the task sequence includes a range of tasks in which prospective teachers’ primary or immediate engagement shifts several times </w:t>
      </w:r>
      <w:r w:rsidR="0009006E">
        <w:t>between</w:t>
      </w:r>
      <w:r w:rsidRPr="00EF34E0">
        <w:t xml:space="preserve"> mathematics </w:t>
      </w:r>
      <w:r w:rsidR="0009006E">
        <w:t>and</w:t>
      </w:r>
      <w:r w:rsidRPr="00EF34E0">
        <w:t xml:space="preserve"> pedagogy, thereby promoting discussions on the interplay of mathematics and pedagogy. In addition to a brief introduction and conclusion, the main part of the session can be divided into four major</w:t>
      </w:r>
      <w:r w:rsidR="00D700C2">
        <w:t>, closely connected</w:t>
      </w:r>
      <w:r w:rsidRPr="00EF34E0">
        <w:t xml:space="preserve"> sections.</w:t>
      </w:r>
      <w:r w:rsidR="00F00C10">
        <w:t xml:space="preserve"> Because of space limitations, we omit here discussion of some subsidiary </w:t>
      </w:r>
      <w:r w:rsidR="001545A6">
        <w:t xml:space="preserve">(to the focus of this paper) </w:t>
      </w:r>
      <w:r w:rsidR="00F00C10">
        <w:t>parts of the sequence.</w:t>
      </w:r>
      <w:r w:rsidRPr="00EF34E0">
        <w:t xml:space="preserve"> </w:t>
      </w:r>
    </w:p>
    <w:p w:rsidR="003F3E45" w:rsidRDefault="003F3E45" w:rsidP="003F3E45">
      <w:pPr>
        <w:spacing w:after="0" w:line="240" w:lineRule="auto"/>
        <w:rPr>
          <w:b/>
        </w:rPr>
      </w:pPr>
    </w:p>
    <w:p w:rsidR="006F30A1" w:rsidRDefault="006F30A1" w:rsidP="0086105D">
      <w:pPr>
        <w:rPr>
          <w:b/>
        </w:rPr>
      </w:pPr>
      <w:r>
        <w:rPr>
          <w:b/>
        </w:rPr>
        <w:t>DESCRIPTION OF THE SESSION</w:t>
      </w:r>
    </w:p>
    <w:p w:rsidR="0086105D" w:rsidRPr="00EF34E0" w:rsidRDefault="0086105D" w:rsidP="0086105D">
      <w:r w:rsidRPr="008204CA">
        <w:rPr>
          <w:b/>
        </w:rPr>
        <w:t>Introduction</w:t>
      </w:r>
    </w:p>
    <w:p w:rsidR="0086105D" w:rsidRPr="00EF34E0" w:rsidRDefault="00622922" w:rsidP="0086105D">
      <w:r>
        <w:t xml:space="preserve">At the beginning of the session, </w:t>
      </w:r>
      <w:r w:rsidR="0086105D" w:rsidRPr="00EF34E0">
        <w:t xml:space="preserve">Stylianides provided an overview of the session and reminded </w:t>
      </w:r>
      <w:r w:rsidR="001545A6">
        <w:t>the class</w:t>
      </w:r>
      <w:r w:rsidR="0086105D" w:rsidRPr="00EF34E0">
        <w:t xml:space="preserve"> about key mathematical terms to be used in the session, namely, ‘convex polygons’, ‘</w:t>
      </w:r>
      <w:proofErr w:type="spellStart"/>
      <w:r w:rsidR="0086105D" w:rsidRPr="00EF34E0">
        <w:t>nonconvex</w:t>
      </w:r>
      <w:proofErr w:type="spellEnd"/>
      <w:r w:rsidR="0086105D" w:rsidRPr="00EF34E0">
        <w:t xml:space="preserve"> or concave polygons’, and ‘interior and exterior angles of convex polygons’. Although, as we mentioned earlier, all our students are graduates in mathematics or mathematics-related subjects, we do not expect them to remember specific terms from school geometry.</w:t>
      </w:r>
    </w:p>
    <w:p w:rsidR="003F3E45" w:rsidRDefault="003F3E45" w:rsidP="003F3E45">
      <w:pPr>
        <w:spacing w:after="0" w:line="240" w:lineRule="auto"/>
        <w:rPr>
          <w:b/>
        </w:rPr>
      </w:pPr>
    </w:p>
    <w:p w:rsidR="003F3E45" w:rsidRPr="00EF34E0" w:rsidRDefault="006F30A1" w:rsidP="0086105D">
      <w:r>
        <w:rPr>
          <w:b/>
        </w:rPr>
        <w:t xml:space="preserve">Main session part 1: </w:t>
      </w:r>
      <w:r w:rsidR="0086105D" w:rsidRPr="008204CA">
        <w:rPr>
          <w:b/>
        </w:rPr>
        <w:t>Mathematical work</w:t>
      </w:r>
    </w:p>
    <w:p w:rsidR="0086105D" w:rsidRPr="00EF34E0" w:rsidRDefault="0086105D" w:rsidP="0086105D">
      <w:r w:rsidRPr="00EF34E0">
        <w:t>The mathematical task in Figure 1 was then presented, which ask</w:t>
      </w:r>
      <w:r w:rsidR="00AD454B">
        <w:t>ed</w:t>
      </w:r>
      <w:r w:rsidRPr="00EF34E0">
        <w:t xml:space="preserve"> prospective teachers</w:t>
      </w:r>
      <w:r w:rsidR="0009006E">
        <w:t xml:space="preserve"> </w:t>
      </w:r>
      <w:r w:rsidRPr="00EF34E0">
        <w:t>to work on two statements (one about the sum of the interior angles of convex polygons and the other about the sum of the exterior angles of convex polygons) and to prove their answers for each statement in two different ways.  The</w:t>
      </w:r>
      <w:r w:rsidR="00710C36">
        <w:t xml:space="preserve">y </w:t>
      </w:r>
      <w:r w:rsidRPr="00EF34E0">
        <w:t>could take as known in their work the facts at the bottom of the slide.</w:t>
      </w:r>
      <w:r w:rsidR="00622922">
        <w:t xml:space="preserve">  </w:t>
      </w:r>
      <w:r w:rsidR="003F42CA">
        <w:t>Note that, a</w:t>
      </w:r>
      <w:r w:rsidR="00622922">
        <w:t>lthough the</w:t>
      </w:r>
      <w:r w:rsidR="003F42CA">
        <w:t xml:space="preserve"> mathematical content of the task (i.e., the sum of interior and exterior angles of convex polygons) is part of the secondary school curriculum, the requirement to prove each answer </w:t>
      </w:r>
      <w:r w:rsidR="003F42CA" w:rsidRPr="003F7775">
        <w:rPr>
          <w:i/>
        </w:rPr>
        <w:t>in two different ways</w:t>
      </w:r>
      <w:r w:rsidR="003F42CA">
        <w:t xml:space="preserve"> makes the task go beyond the school level.  Indeed, the requirement for two different proofs makes the task challenging even for this group of prospective teachers and was an intentional feature of the design of the task.  As we explain below, </w:t>
      </w:r>
      <w:r w:rsidR="00AD454B">
        <w:t xml:space="preserve">our </w:t>
      </w:r>
      <w:r w:rsidR="00710C36">
        <w:t>students</w:t>
      </w:r>
      <w:r w:rsidR="003F42CA">
        <w:t xml:space="preserve"> were unable to produce two different proofs for the sum of the exterior angles (which was expected</w:t>
      </w:r>
      <w:r w:rsidR="0089606E">
        <w:t xml:space="preserve"> based on prior experience) and</w:t>
      </w:r>
      <w:r w:rsidR="003F42CA">
        <w:t xml:space="preserve"> the sample of </w:t>
      </w:r>
      <w:r w:rsidR="00710C36">
        <w:t xml:space="preserve">school </w:t>
      </w:r>
      <w:r w:rsidR="003F42CA">
        <w:t xml:space="preserve">student work in part 2 of the main session was intended to provide insight into an important proof that </w:t>
      </w:r>
      <w:r w:rsidR="006934D3">
        <w:t xml:space="preserve">prospective teachers tend not to think about, thereby </w:t>
      </w:r>
      <w:r w:rsidR="00221B8A">
        <w:t>initiating</w:t>
      </w:r>
      <w:r w:rsidR="006934D3">
        <w:t xml:space="preserve"> more mathematical work on the task.</w:t>
      </w:r>
    </w:p>
    <w:p w:rsidR="0086105D" w:rsidRPr="008204CA" w:rsidRDefault="0086105D" w:rsidP="0086105D">
      <w:pPr>
        <w:rPr>
          <w:i/>
        </w:rPr>
      </w:pPr>
      <w:r w:rsidRPr="008204CA">
        <w:rPr>
          <w:i/>
        </w:rPr>
        <w:t>Figure 1: Mathematical task about the sum of interior and exterior angles of convex polygons.</w:t>
      </w:r>
    </w:p>
    <w:p w:rsidR="0086105D" w:rsidRPr="00EF34E0" w:rsidRDefault="00FB0DCE" w:rsidP="00D700C2">
      <w:pPr>
        <w:jc w:val="center"/>
      </w:pPr>
      <w:r w:rsidRPr="00FB0DCE">
        <w:rPr>
          <w:noProof/>
          <w:lang w:val="en-GB" w:eastAsia="en-GB" w:bidi="ar-SA"/>
        </w:rPr>
        <w:lastRenderedPageBreak/>
        <w:drawing>
          <wp:inline distT="0" distB="0" distL="0" distR="0">
            <wp:extent cx="3200400" cy="2400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2400300"/>
                    </a:xfrm>
                    <a:prstGeom prst="rect">
                      <a:avLst/>
                    </a:prstGeom>
                    <a:noFill/>
                    <a:ln>
                      <a:noFill/>
                    </a:ln>
                  </pic:spPr>
                </pic:pic>
              </a:graphicData>
            </a:graphic>
          </wp:inline>
        </w:drawing>
      </w:r>
    </w:p>
    <w:p w:rsidR="0086105D" w:rsidRPr="00EF34E0" w:rsidRDefault="0086105D" w:rsidP="0086105D">
      <w:r w:rsidRPr="00EF34E0">
        <w:t xml:space="preserve">The prospective teachers </w:t>
      </w:r>
      <w:r w:rsidR="00AD454B">
        <w:t xml:space="preserve">first </w:t>
      </w:r>
      <w:r w:rsidRPr="00EF34E0">
        <w:t>worked on this mathematical task individually for a few minutes and, then, they shared ideas/strategies in their small groups of five. The</w:t>
      </w:r>
      <w:r w:rsidR="00872324">
        <w:t xml:space="preserve"> small group work on the task continued </w:t>
      </w:r>
      <w:r w:rsidRPr="00EF34E0">
        <w:t>until there was a whole class</w:t>
      </w:r>
      <w:r w:rsidR="0009006E">
        <w:t xml:space="preserve"> </w:t>
      </w:r>
      <w:r w:rsidRPr="00EF34E0">
        <w:t>discussion.  In the whole class</w:t>
      </w:r>
      <w:r w:rsidR="0009006E">
        <w:t xml:space="preserve"> </w:t>
      </w:r>
      <w:r w:rsidRPr="00EF34E0">
        <w:t>discussion, different small groups presented their work on each of the two statements and the class discussed the proposed solutions.</w:t>
      </w:r>
    </w:p>
    <w:p w:rsidR="0086105D" w:rsidRPr="00EF34E0" w:rsidRDefault="0086105D" w:rsidP="0086105D">
      <w:r w:rsidRPr="00EF34E0">
        <w:t xml:space="preserve">Although the task in Figure 1 was a mathematical task, in the sharing and discussion of </w:t>
      </w:r>
      <w:r w:rsidRPr="007C0CAA">
        <w:t xml:space="preserve">approaches to the task, </w:t>
      </w:r>
      <w:r w:rsidR="000E25CB">
        <w:t xml:space="preserve">a </w:t>
      </w:r>
      <w:r w:rsidRPr="007C0CAA">
        <w:t xml:space="preserve">pedagogical </w:t>
      </w:r>
      <w:r w:rsidR="000E25CB">
        <w:t>perspective was</w:t>
      </w:r>
      <w:r w:rsidRPr="007C0CAA">
        <w:t xml:space="preserve"> also naturally raised. For example, when one </w:t>
      </w:r>
      <w:r w:rsidR="00B47D36">
        <w:t xml:space="preserve">small group </w:t>
      </w:r>
      <w:r w:rsidRPr="007C0CAA">
        <w:t xml:space="preserve">presented a non-mathematically valid argument to one of the statements, Stylianides asked the </w:t>
      </w:r>
      <w:r w:rsidR="00872324">
        <w:t>class</w:t>
      </w:r>
      <w:r w:rsidRPr="007C0CAA">
        <w:t xml:space="preserve"> “What might a skeptic ask/say in relation to this argument?” and introduced to the </w:t>
      </w:r>
      <w:r w:rsidR="00872324">
        <w:t xml:space="preserve">students </w:t>
      </w:r>
      <w:r w:rsidRPr="007C0CAA">
        <w:t>the following idea discussed in Mason (1982):‘convince yourself - a friend - a skeptic’.</w:t>
      </w:r>
      <w:r w:rsidR="0009006E" w:rsidRPr="007C0CAA">
        <w:t xml:space="preserve"> </w:t>
      </w:r>
      <w:r w:rsidRPr="007C0CAA">
        <w:t xml:space="preserve">This question </w:t>
      </w:r>
      <w:r w:rsidR="0009006E" w:rsidRPr="007C0CAA">
        <w:t xml:space="preserve">was </w:t>
      </w:r>
      <w:r w:rsidRPr="007C0CAA">
        <w:t xml:space="preserve">aimed at encouraging prospective teachers to be more critical of the proposed argument in a way that did not feel personal.  Although Stylianides’ comment was about </w:t>
      </w:r>
      <w:r w:rsidR="00710C36">
        <w:t>their</w:t>
      </w:r>
      <w:r w:rsidR="0009006E" w:rsidRPr="007C0CAA">
        <w:t xml:space="preserve"> </w:t>
      </w:r>
      <w:r w:rsidR="000E25CB">
        <w:t xml:space="preserve">own </w:t>
      </w:r>
      <w:r w:rsidRPr="007C0CAA">
        <w:t xml:space="preserve">mathematical work, </w:t>
      </w:r>
      <w:r w:rsidR="00872324">
        <w:t>some prospective teachers</w:t>
      </w:r>
      <w:r w:rsidR="00872324" w:rsidRPr="007C0CAA">
        <w:t xml:space="preserve"> </w:t>
      </w:r>
      <w:r w:rsidR="0089606E">
        <w:t xml:space="preserve">(drawing on their school experiences) </w:t>
      </w:r>
      <w:r w:rsidRPr="007C0CAA">
        <w:t>quickly suggested the idea that they could use a similar strategy with their own students.  Below are three excerpts from responses at the end of the session to the two prompts in Table 1:</w:t>
      </w:r>
    </w:p>
    <w:p w:rsidR="0086105D" w:rsidRPr="00EF34E0" w:rsidRDefault="0086105D" w:rsidP="00B47D36">
      <w:pPr>
        <w:numPr>
          <w:ilvl w:val="0"/>
          <w:numId w:val="6"/>
        </w:numPr>
        <w:spacing w:after="0" w:line="240" w:lineRule="auto"/>
      </w:pPr>
      <w:r w:rsidRPr="00EF34E0">
        <w:t xml:space="preserve">[Response to Prompt 1.] We saw a rule-of-thumb approach of proof: </w:t>
      </w:r>
      <w:r w:rsidR="00735806">
        <w:t>‘</w:t>
      </w:r>
      <w:r w:rsidRPr="00EF34E0">
        <w:t>convince yourself, a friend, a skeptic</w:t>
      </w:r>
      <w:r w:rsidR="00735806">
        <w:t>’</w:t>
      </w:r>
      <w:r w:rsidRPr="00EF34E0">
        <w:t xml:space="preserve"> which was key because it showed to me that it is not enough to convince myself of something. As a teacher, I will have to explain my ideas to a class who do not always understand concepts after one-hearing. </w:t>
      </w:r>
    </w:p>
    <w:p w:rsidR="0086105D" w:rsidRPr="00EF34E0" w:rsidRDefault="0086105D" w:rsidP="00B47D36">
      <w:pPr>
        <w:numPr>
          <w:ilvl w:val="0"/>
          <w:numId w:val="6"/>
        </w:numPr>
        <w:spacing w:after="0" w:line="240" w:lineRule="auto"/>
      </w:pPr>
      <w:r w:rsidRPr="00EF34E0">
        <w:t xml:space="preserve">[Response to Prompt 1.] Encouraging students to challenge the teacher </w:t>
      </w:r>
      <w:r w:rsidR="00735806">
        <w:t>and</w:t>
      </w:r>
      <w:r w:rsidRPr="00EF34E0">
        <w:t xml:space="preserve"> each other </w:t>
      </w:r>
    </w:p>
    <w:p w:rsidR="0086105D" w:rsidRPr="00EF34E0" w:rsidRDefault="0086105D" w:rsidP="00B47D36">
      <w:pPr>
        <w:spacing w:after="0" w:line="240" w:lineRule="auto"/>
        <w:ind w:left="1440"/>
      </w:pPr>
      <w:r w:rsidRPr="00EF34E0">
        <w:sym w:font="Wingdings" w:char="F0E0"/>
      </w:r>
      <w:r w:rsidR="00735806">
        <w:t xml:space="preserve"> </w:t>
      </w:r>
      <w:r w:rsidRPr="00EF34E0">
        <w:t xml:space="preserve">discussion about </w:t>
      </w:r>
      <w:r w:rsidR="000E25CB">
        <w:t>‘</w:t>
      </w:r>
      <w:r w:rsidRPr="00EF34E0">
        <w:t>playing skeptic</w:t>
      </w:r>
      <w:r w:rsidR="000E25CB">
        <w:t>’</w:t>
      </w:r>
      <w:r w:rsidRPr="00EF34E0">
        <w:t xml:space="preserve"> </w:t>
      </w:r>
      <w:r w:rsidR="00735806">
        <w:t>and</w:t>
      </w:r>
      <w:r w:rsidRPr="00EF34E0">
        <w:t xml:space="preserve"> us all offering various arguments</w:t>
      </w:r>
    </w:p>
    <w:p w:rsidR="0086105D" w:rsidRPr="00EF34E0" w:rsidRDefault="0086105D" w:rsidP="0086105D">
      <w:pPr>
        <w:numPr>
          <w:ilvl w:val="0"/>
          <w:numId w:val="6"/>
        </w:numPr>
        <w:spacing w:after="0" w:line="240" w:lineRule="auto"/>
      </w:pPr>
      <w:r w:rsidRPr="00EF34E0">
        <w:t>[Response to Prompt 2.] I will have to approach proving an idea as if to a skeptic, and show as much information as I can to ensure that a class is fully aware of all the ideas necessary to be familiar with a concept.</w:t>
      </w:r>
    </w:p>
    <w:p w:rsidR="00C07883" w:rsidRDefault="00C07883" w:rsidP="00C07883">
      <w:pPr>
        <w:spacing w:after="0" w:line="240" w:lineRule="auto"/>
      </w:pPr>
    </w:p>
    <w:p w:rsidR="0086105D" w:rsidRPr="00EF34E0" w:rsidRDefault="00735806" w:rsidP="0086105D">
      <w:r>
        <w:t xml:space="preserve">Later on in </w:t>
      </w:r>
      <w:r w:rsidR="0086105D" w:rsidRPr="00EF34E0">
        <w:t>the whole class discussion of th</w:t>
      </w:r>
      <w:r>
        <w:t>e</w:t>
      </w:r>
      <w:r w:rsidR="0086105D" w:rsidRPr="00EF34E0">
        <w:t xml:space="preserve"> mathematical task </w:t>
      </w:r>
      <w:r>
        <w:t>one small group proposed a proof that</w:t>
      </w:r>
      <w:r w:rsidR="0086105D" w:rsidRPr="00EF34E0">
        <w:t xml:space="preserve"> did not adequately address the general case</w:t>
      </w:r>
      <w:r w:rsidR="003C4856">
        <w:t xml:space="preserve">.  Specifically, </w:t>
      </w:r>
      <w:r w:rsidR="0086105D" w:rsidRPr="00EF34E0">
        <w:t xml:space="preserve">the figure drawn by that group did not indicate that the argument proposed would apply for any convex polygon (which is essential for an argument to meet the standard of </w:t>
      </w:r>
      <w:r>
        <w:t>‘</w:t>
      </w:r>
      <w:r w:rsidR="0086105D" w:rsidRPr="00EF34E0">
        <w:t>proof</w:t>
      </w:r>
      <w:r>
        <w:t>’</w:t>
      </w:r>
      <w:r w:rsidR="0086105D" w:rsidRPr="00EF34E0">
        <w:t xml:space="preserve">) even though the </w:t>
      </w:r>
      <w:r w:rsidR="00E6080D">
        <w:t xml:space="preserve">group’s </w:t>
      </w:r>
      <w:r w:rsidR="0086105D" w:rsidRPr="00EF34E0">
        <w:t xml:space="preserve">description that accompanied the </w:t>
      </w:r>
      <w:r w:rsidR="0086105D" w:rsidRPr="00EF34E0">
        <w:lastRenderedPageBreak/>
        <w:t>figure account</w:t>
      </w:r>
      <w:r w:rsidR="00695397">
        <w:t>ed</w:t>
      </w:r>
      <w:r w:rsidR="001849F3">
        <w:t xml:space="preserve"> </w:t>
      </w:r>
      <w:r w:rsidR="0086105D" w:rsidRPr="00EF34E0">
        <w:t xml:space="preserve">for the general case.  So there was a discussion </w:t>
      </w:r>
      <w:r w:rsidR="00E6080D">
        <w:t xml:space="preserve">in the class </w:t>
      </w:r>
      <w:r w:rsidR="0086105D" w:rsidRPr="00EF34E0">
        <w:t>on how a figure</w:t>
      </w:r>
      <w:r w:rsidR="005D00FF">
        <w:t xml:space="preserve"> could be drawn</w:t>
      </w:r>
      <w:r w:rsidR="0086105D" w:rsidRPr="00EF34E0">
        <w:t xml:space="preserve"> that would match the description and would also apply to the general case (see notion of </w:t>
      </w:r>
      <w:r w:rsidR="00E6080D">
        <w:t>‘</w:t>
      </w:r>
      <w:r w:rsidR="0086105D" w:rsidRPr="00EF34E0">
        <w:t>generic example</w:t>
      </w:r>
      <w:r>
        <w:t>’</w:t>
      </w:r>
      <w:r w:rsidR="0086105D" w:rsidRPr="00EF34E0">
        <w:t xml:space="preserve">, </w:t>
      </w:r>
      <w:proofErr w:type="spellStart"/>
      <w:r w:rsidR="0086105D" w:rsidRPr="00EF34E0">
        <w:t>Balacheff</w:t>
      </w:r>
      <w:proofErr w:type="spellEnd"/>
      <w:r w:rsidR="0086105D" w:rsidRPr="00EF34E0">
        <w:t>, 1988; Mason &amp;</w:t>
      </w:r>
      <w:r w:rsidR="0009006E">
        <w:t xml:space="preserve"> </w:t>
      </w:r>
      <w:proofErr w:type="spellStart"/>
      <w:r w:rsidR="0086105D" w:rsidRPr="00EF34E0">
        <w:t>Pimm</w:t>
      </w:r>
      <w:proofErr w:type="spellEnd"/>
      <w:r w:rsidR="0086105D" w:rsidRPr="00EF34E0">
        <w:t>, 1984). Similar to the previous example</w:t>
      </w:r>
      <w:r>
        <w:t xml:space="preserve"> </w:t>
      </w:r>
      <w:r w:rsidR="00E6080D">
        <w:t>about convincing a skeptic</w:t>
      </w:r>
      <w:r w:rsidR="000E25CB">
        <w:t>,</w:t>
      </w:r>
      <w:r w:rsidR="00E6080D">
        <w:t xml:space="preserve"> </w:t>
      </w:r>
      <w:r>
        <w:t>and</w:t>
      </w:r>
      <w:r w:rsidR="0086105D" w:rsidRPr="00EF34E0">
        <w:t xml:space="preserve"> </w:t>
      </w:r>
      <w:r>
        <w:t xml:space="preserve">without any prompting from the teacher educator, </w:t>
      </w:r>
      <w:r w:rsidR="00695397">
        <w:t xml:space="preserve">the </w:t>
      </w:r>
      <w:r w:rsidR="0086105D" w:rsidRPr="00EF34E0">
        <w:t xml:space="preserve">prospective teachers </w:t>
      </w:r>
      <w:r>
        <w:t xml:space="preserve">started </w:t>
      </w:r>
      <w:r w:rsidR="0086105D" w:rsidRPr="00EF34E0">
        <w:t>ma</w:t>
      </w:r>
      <w:r>
        <w:t>king</w:t>
      </w:r>
      <w:r w:rsidR="0086105D" w:rsidRPr="00EF34E0">
        <w:t xml:space="preserve"> connections </w:t>
      </w:r>
      <w:r w:rsidR="0009006E">
        <w:t>between</w:t>
      </w:r>
      <w:r w:rsidR="0086105D" w:rsidRPr="00EF34E0">
        <w:t xml:space="preserve"> </w:t>
      </w:r>
      <w:r>
        <w:t xml:space="preserve">the </w:t>
      </w:r>
      <w:r w:rsidR="0086105D" w:rsidRPr="00EF34E0">
        <w:t xml:space="preserve">mathematical issues discussed </w:t>
      </w:r>
      <w:r>
        <w:t xml:space="preserve">and implications of these issues in </w:t>
      </w:r>
      <w:r w:rsidR="0086105D" w:rsidRPr="00EF34E0">
        <w:t>their teaching</w:t>
      </w:r>
      <w:r>
        <w:t>; this provides another example of the interplay between mathematical and pedagogical issues in the discussion</w:t>
      </w:r>
      <w:r w:rsidR="0086105D" w:rsidRPr="00EF34E0">
        <w:t>.  Below are two more excerpts from responses to Prompt 1 in the end-of-session reflection</w:t>
      </w:r>
      <w:r w:rsidR="00E6080D">
        <w:t xml:space="preserve"> that illustrate the connections the </w:t>
      </w:r>
      <w:r w:rsidR="00DC7594">
        <w:t>prospective teacher</w:t>
      </w:r>
      <w:r w:rsidR="00E6080D">
        <w:t>s made between their own mathematical work on the task and possible implications for their teaching</w:t>
      </w:r>
      <w:r w:rsidR="0086105D" w:rsidRPr="00EF34E0">
        <w:t>:</w:t>
      </w:r>
    </w:p>
    <w:p w:rsidR="0086105D" w:rsidRPr="00EF34E0" w:rsidRDefault="0086105D" w:rsidP="00661AD7">
      <w:pPr>
        <w:numPr>
          <w:ilvl w:val="0"/>
          <w:numId w:val="5"/>
        </w:numPr>
        <w:spacing w:after="0" w:line="240" w:lineRule="auto"/>
      </w:pPr>
      <w:r w:rsidRPr="00EF34E0">
        <w:t>Explanation of generic/specific problem of diagrams for students. Do they understand it is to represent ANY such shape, not the specific one they see?</w:t>
      </w:r>
    </w:p>
    <w:p w:rsidR="0086105D" w:rsidRDefault="0086105D" w:rsidP="008204CA">
      <w:pPr>
        <w:numPr>
          <w:ilvl w:val="0"/>
          <w:numId w:val="5"/>
        </w:numPr>
        <w:spacing w:after="0" w:line="240" w:lineRule="auto"/>
      </w:pPr>
      <w:r w:rsidRPr="00EF34E0">
        <w:t xml:space="preserve">The way in which we all tackled the same problems in different ways </w:t>
      </w:r>
      <w:proofErr w:type="spellStart"/>
      <w:r w:rsidRPr="00EF34E0">
        <w:t>emphasised</w:t>
      </w:r>
      <w:proofErr w:type="spellEnd"/>
      <w:r w:rsidRPr="00EF34E0">
        <w:t xml:space="preserve"> how pupils may work in different ways.</w:t>
      </w:r>
    </w:p>
    <w:p w:rsidR="0086105D" w:rsidRPr="00EF34E0" w:rsidRDefault="0086105D" w:rsidP="00661AD7">
      <w:pPr>
        <w:spacing w:after="0" w:line="240" w:lineRule="auto"/>
        <w:ind w:left="720"/>
      </w:pPr>
    </w:p>
    <w:p w:rsidR="0086105D" w:rsidRPr="00EF34E0" w:rsidRDefault="00B7380C" w:rsidP="0086105D">
      <w:r>
        <w:t>As expected, p</w:t>
      </w:r>
      <w:r w:rsidR="0086105D" w:rsidRPr="00EF34E0">
        <w:t>rospective teachers</w:t>
      </w:r>
      <w:r w:rsidR="001B282F">
        <w:t xml:space="preserve"> </w:t>
      </w:r>
      <w:r w:rsidR="0086105D" w:rsidRPr="00EF34E0">
        <w:t xml:space="preserve">were not able to produce two different proofs for the second statement in the mathematical task, i.e. about the sum of the exterior angles.  </w:t>
      </w:r>
      <w:r w:rsidR="00284269">
        <w:t>After the analysis of student work that follows, the mathematical task will be revisited</w:t>
      </w:r>
      <w:r w:rsidR="0086105D" w:rsidRPr="00EF34E0">
        <w:t>.</w:t>
      </w:r>
      <w:r w:rsidR="005E4B89">
        <w:t xml:space="preserve">  </w:t>
      </w:r>
    </w:p>
    <w:p w:rsidR="00C07883" w:rsidRDefault="00C07883" w:rsidP="00C07883">
      <w:pPr>
        <w:spacing w:after="0" w:line="240" w:lineRule="auto"/>
        <w:rPr>
          <w:b/>
        </w:rPr>
      </w:pPr>
    </w:p>
    <w:p w:rsidR="0086105D" w:rsidRPr="00EF34E0" w:rsidRDefault="006F30A1" w:rsidP="0086105D">
      <w:r>
        <w:rPr>
          <w:b/>
        </w:rPr>
        <w:t xml:space="preserve">Main session part 2: </w:t>
      </w:r>
      <w:r w:rsidR="0086105D" w:rsidRPr="008204CA">
        <w:rPr>
          <w:b/>
        </w:rPr>
        <w:t xml:space="preserve">Analysis of student work </w:t>
      </w:r>
    </w:p>
    <w:p w:rsidR="00042CC6" w:rsidRDefault="0038160D" w:rsidP="0086105D">
      <w:r>
        <w:t xml:space="preserve">The second part </w:t>
      </w:r>
      <w:r w:rsidR="0086105D" w:rsidRPr="003F3E45">
        <w:t>of the main session</w:t>
      </w:r>
      <w:r>
        <w:t xml:space="preserve"> of the task sequence</w:t>
      </w:r>
      <w:r w:rsidR="0086105D" w:rsidRPr="003F3E45">
        <w:t xml:space="preserve"> included analysis and discussion of secondary students’ work on a related mathematical</w:t>
      </w:r>
      <w:r w:rsidR="0086105D" w:rsidRPr="00EF34E0">
        <w:t xml:space="preserve"> task.  The student work was derived from </w:t>
      </w:r>
      <w:proofErr w:type="spellStart"/>
      <w:r w:rsidR="0086105D" w:rsidRPr="00EF34E0">
        <w:t>Hadas</w:t>
      </w:r>
      <w:proofErr w:type="spellEnd"/>
      <w:r w:rsidR="0086105D" w:rsidRPr="00EF34E0">
        <w:t xml:space="preserve">, </w:t>
      </w:r>
      <w:proofErr w:type="spellStart"/>
      <w:r w:rsidR="0086105D" w:rsidRPr="00EF34E0">
        <w:t>Hershkowitz</w:t>
      </w:r>
      <w:proofErr w:type="spellEnd"/>
      <w:r w:rsidR="0086105D" w:rsidRPr="00EF34E0">
        <w:t>, and Schwarz (2000)</w:t>
      </w:r>
      <w:r w:rsidR="000E25CB">
        <w:t>.</w:t>
      </w:r>
      <w:r w:rsidR="0086105D" w:rsidRPr="00EF34E0">
        <w:t xml:space="preserve"> </w:t>
      </w:r>
      <w:r w:rsidR="004F37B9">
        <w:t xml:space="preserve"> </w:t>
      </w:r>
      <w:r>
        <w:t xml:space="preserve">As background to the </w:t>
      </w:r>
      <w:r w:rsidR="00042CC6">
        <w:t xml:space="preserve">activity, Stylianides offered the following information to the </w:t>
      </w:r>
      <w:r w:rsidR="00284269">
        <w:t>class</w:t>
      </w:r>
      <w:r w:rsidR="00042CC6">
        <w:t xml:space="preserve">: </w:t>
      </w:r>
    </w:p>
    <w:p w:rsidR="00524FF4" w:rsidRDefault="003B688D" w:rsidP="00524FF4">
      <w:pPr>
        <w:spacing w:after="0" w:line="240" w:lineRule="auto"/>
        <w:ind w:left="720"/>
      </w:pPr>
      <w:r>
        <w:t>Some</w:t>
      </w:r>
      <w:r w:rsidR="00524FF4">
        <w:t xml:space="preserve"> secondary students worked on the following task: </w:t>
      </w:r>
    </w:p>
    <w:p w:rsidR="00EF5318" w:rsidRPr="00524FF4" w:rsidRDefault="00524FF4" w:rsidP="00DE7BA9">
      <w:pPr>
        <w:ind w:left="900"/>
      </w:pPr>
      <w:r>
        <w:t xml:space="preserve">Measure </w:t>
      </w:r>
      <w:r w:rsidRPr="00524FF4">
        <w:t xml:space="preserve">with </w:t>
      </w:r>
      <w:proofErr w:type="spellStart"/>
      <w:r w:rsidRPr="00524FF4">
        <w:t>Cabri</w:t>
      </w:r>
      <w:proofErr w:type="spellEnd"/>
      <w:r>
        <w:t xml:space="preserve"> (a dynamic geometry software)</w:t>
      </w:r>
      <w:r w:rsidRPr="00524FF4">
        <w:t xml:space="preserve"> the sum of the </w:t>
      </w:r>
      <w:r w:rsidRPr="00524FF4">
        <w:rPr>
          <w:i/>
          <w:iCs/>
        </w:rPr>
        <w:t>exterior angles</w:t>
      </w:r>
      <w:r w:rsidRPr="00524FF4">
        <w:t xml:space="preserve"> of a quadrilateral. Hypothesize the sum of the exterior angle</w:t>
      </w:r>
      <w:r>
        <w:t xml:space="preserve">s for polygons as the number of </w:t>
      </w:r>
      <w:r w:rsidRPr="00524FF4">
        <w:t>sides increases. Check your hypothesis by measuring and explain what you found.</w:t>
      </w:r>
    </w:p>
    <w:p w:rsidR="0086105D" w:rsidRPr="00EF34E0" w:rsidRDefault="0027163C" w:rsidP="0086105D">
      <w:r>
        <w:t>The sample of student work that the prospective</w:t>
      </w:r>
      <w:r w:rsidR="003B688D">
        <w:t xml:space="preserve"> teachers</w:t>
      </w:r>
      <w:r>
        <w:t xml:space="preserve"> were asked to try and make sense of is presented in Figure 2.  The secondary students</w:t>
      </w:r>
      <w:r w:rsidR="00695397">
        <w:t>,</w:t>
      </w:r>
      <w:r>
        <w:t xml:space="preserve"> </w:t>
      </w:r>
      <w:r w:rsidR="00DC766F">
        <w:t>whose work is described in the figure</w:t>
      </w:r>
      <w:r w:rsidR="00695397">
        <w:t>,</w:t>
      </w:r>
      <w:r w:rsidR="00DC766F">
        <w:t xml:space="preserve"> </w:t>
      </w:r>
      <w:r>
        <w:t>have already explored the case of quadrilaterals and found out the sum of exterior angles is 360</w:t>
      </w:r>
      <w:r>
        <w:rPr>
          <w:vertAlign w:val="superscript"/>
        </w:rPr>
        <w:t>0</w:t>
      </w:r>
      <w:r>
        <w:t xml:space="preserve">.  The </w:t>
      </w:r>
      <w:r w:rsidR="00DC766F">
        <w:t xml:space="preserve">figure </w:t>
      </w:r>
      <w:r>
        <w:t xml:space="preserve">presents the students’ exploration of what happens to the sum of the exterior angles as they move on from the case of a quadrilateral </w:t>
      </w:r>
      <w:r w:rsidR="00DC766F">
        <w:t xml:space="preserve">to </w:t>
      </w:r>
      <w:r>
        <w:t xml:space="preserve">the case of a pentagon. </w:t>
      </w:r>
      <w:r w:rsidR="0086105D" w:rsidRPr="00EF34E0">
        <w:t xml:space="preserve">The discussion </w:t>
      </w:r>
      <w:r>
        <w:t xml:space="preserve">of the student work </w:t>
      </w:r>
      <w:r w:rsidR="00DC766F">
        <w:t xml:space="preserve">not only </w:t>
      </w:r>
      <w:r w:rsidR="00221B8A">
        <w:t>led to</w:t>
      </w:r>
      <w:r w:rsidR="0086105D" w:rsidRPr="00EF34E0">
        <w:t xml:space="preserve"> more mathematical work for the </w:t>
      </w:r>
      <w:r>
        <w:t>prospective teachers</w:t>
      </w:r>
      <w:r w:rsidRPr="00EF34E0">
        <w:t xml:space="preserve"> </w:t>
      </w:r>
      <w:r w:rsidR="0086105D" w:rsidRPr="00EF34E0">
        <w:t xml:space="preserve">as we explain in </w:t>
      </w:r>
      <w:r>
        <w:t xml:space="preserve">the next </w:t>
      </w:r>
      <w:r w:rsidR="0086105D" w:rsidRPr="00EF34E0">
        <w:t>section</w:t>
      </w:r>
      <w:r w:rsidR="00DC766F">
        <w:t xml:space="preserve">, but presumably also helped </w:t>
      </w:r>
      <w:r w:rsidR="005D00FF">
        <w:t>them</w:t>
      </w:r>
      <w:r w:rsidR="00DC766F">
        <w:t xml:space="preserve"> see how their mathematical exploration could relate to engaging secondary students in a similar task</w:t>
      </w:r>
      <w:r w:rsidR="0086105D" w:rsidRPr="00EF34E0">
        <w:t>.</w:t>
      </w:r>
    </w:p>
    <w:p w:rsidR="00C07883" w:rsidRPr="00C011F1" w:rsidRDefault="00C011F1" w:rsidP="00C011F1">
      <w:pPr>
        <w:rPr>
          <w:i/>
        </w:rPr>
      </w:pPr>
      <w:r w:rsidRPr="00E96CAB">
        <w:rPr>
          <w:i/>
        </w:rPr>
        <w:t>Figure</w:t>
      </w:r>
      <w:r>
        <w:rPr>
          <w:i/>
        </w:rPr>
        <w:t xml:space="preserve"> 2</w:t>
      </w:r>
      <w:r w:rsidRPr="00E96CAB">
        <w:rPr>
          <w:i/>
        </w:rPr>
        <w:t xml:space="preserve">: </w:t>
      </w:r>
      <w:r w:rsidR="00C17840">
        <w:rPr>
          <w:i/>
        </w:rPr>
        <w:t>Analysis of student work on a related mathematical task</w:t>
      </w:r>
      <w:r w:rsidRPr="00E96CAB">
        <w:rPr>
          <w:i/>
        </w:rPr>
        <w:t>.</w:t>
      </w:r>
    </w:p>
    <w:p w:rsidR="00ED11E7" w:rsidRDefault="00ED11E7" w:rsidP="00ED11E7">
      <w:pPr>
        <w:jc w:val="center"/>
        <w:rPr>
          <w:b/>
        </w:rPr>
      </w:pPr>
    </w:p>
    <w:p w:rsidR="00ED11E7" w:rsidRDefault="00ED11E7" w:rsidP="00ED11E7">
      <w:pPr>
        <w:jc w:val="center"/>
        <w:rPr>
          <w:b/>
        </w:rPr>
      </w:pPr>
    </w:p>
    <w:p w:rsidR="00C011F1" w:rsidRDefault="00ED11E7" w:rsidP="00ED11E7">
      <w:pPr>
        <w:jc w:val="center"/>
        <w:rPr>
          <w:b/>
        </w:rPr>
      </w:pPr>
      <w:r w:rsidRPr="00ED11E7">
        <w:rPr>
          <w:b/>
          <w:noProof/>
          <w:lang w:val="en-GB" w:eastAsia="en-GB" w:bidi="ar-SA"/>
        </w:rPr>
        <w:drawing>
          <wp:inline distT="0" distB="0" distL="0" distR="0">
            <wp:extent cx="3810000" cy="28575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p w:rsidR="00ED11E7" w:rsidRDefault="00ED11E7" w:rsidP="0086105D">
      <w:pPr>
        <w:rPr>
          <w:b/>
        </w:rPr>
      </w:pPr>
    </w:p>
    <w:p w:rsidR="0086105D" w:rsidRPr="00EF34E0" w:rsidRDefault="006F30A1" w:rsidP="0086105D">
      <w:r>
        <w:rPr>
          <w:b/>
        </w:rPr>
        <w:t xml:space="preserve">Main session part 3: </w:t>
      </w:r>
      <w:r w:rsidR="0086105D" w:rsidRPr="00BB308B">
        <w:rPr>
          <w:b/>
        </w:rPr>
        <w:t>More mathematical work</w:t>
      </w:r>
    </w:p>
    <w:p w:rsidR="006E7322" w:rsidRDefault="0086105D" w:rsidP="0086105D">
      <w:r w:rsidRPr="00414A4C">
        <w:t xml:space="preserve">As we mentioned earlier in </w:t>
      </w:r>
      <w:r w:rsidR="00932E04">
        <w:t xml:space="preserve">the </w:t>
      </w:r>
      <w:r w:rsidR="00DC766F">
        <w:t>‘</w:t>
      </w:r>
      <w:r w:rsidR="003B688D">
        <w:t>m</w:t>
      </w:r>
      <w:r w:rsidR="00C65036">
        <w:t>athematical work</w:t>
      </w:r>
      <w:r w:rsidR="00DC766F">
        <w:t>’</w:t>
      </w:r>
      <w:r w:rsidR="00932E04">
        <w:t xml:space="preserve"> section</w:t>
      </w:r>
      <w:r w:rsidRPr="00414A4C">
        <w:t xml:space="preserve">, the </w:t>
      </w:r>
      <w:r w:rsidR="00C65036">
        <w:t>prospective teachers</w:t>
      </w:r>
      <w:r w:rsidR="00C65036" w:rsidRPr="00414A4C">
        <w:t xml:space="preserve"> </w:t>
      </w:r>
      <w:r w:rsidRPr="00414A4C">
        <w:t>were not able to produce two proofs for the statement about sum of the exterior angles. This was expected and the choice of the student</w:t>
      </w:r>
      <w:r w:rsidRPr="00EF34E0">
        <w:t xml:space="preserve"> work in </w:t>
      </w:r>
      <w:r w:rsidR="00C65036">
        <w:t>Figure 2</w:t>
      </w:r>
      <w:r w:rsidRPr="00EF34E0">
        <w:t xml:space="preserve"> was intended to provoke further mathematical work on the task by engaging </w:t>
      </w:r>
      <w:r w:rsidR="005D00FF">
        <w:t>them</w:t>
      </w:r>
      <w:r w:rsidR="00C65036" w:rsidRPr="00EF34E0">
        <w:t xml:space="preserve"> </w:t>
      </w:r>
      <w:r w:rsidRPr="00EF34E0">
        <w:t>in a proof about the task they ha</w:t>
      </w:r>
      <w:r w:rsidR="00705F76">
        <w:t>d</w:t>
      </w:r>
      <w:r w:rsidRPr="00EF34E0">
        <w:t xml:space="preserve"> not </w:t>
      </w:r>
      <w:r w:rsidR="00C65036">
        <w:t>produced</w:t>
      </w:r>
      <w:r w:rsidRPr="00EF34E0">
        <w:t xml:space="preserve"> on their own but </w:t>
      </w:r>
      <w:r w:rsidR="00705F76">
        <w:t xml:space="preserve">which </w:t>
      </w:r>
      <w:r w:rsidRPr="00EF34E0">
        <w:t xml:space="preserve">used an important proof method, namely, proof by mathematical induction.  In more detail, implicit in the student work is the inductive step of a possible proof by mathematical induction.  The </w:t>
      </w:r>
      <w:r w:rsidR="00DC7594">
        <w:t>prospective teacher</w:t>
      </w:r>
      <w:r w:rsidRPr="00EF34E0">
        <w:t xml:space="preserve">s did not think of using mathematical induction in their initial work on the mathematical task, which </w:t>
      </w:r>
      <w:r w:rsidR="003735CA">
        <w:t xml:space="preserve">was expected </w:t>
      </w:r>
      <w:r w:rsidRPr="00EF34E0">
        <w:t xml:space="preserve">given </w:t>
      </w:r>
      <w:r w:rsidR="003735CA">
        <w:t xml:space="preserve">(1) </w:t>
      </w:r>
      <w:r w:rsidRPr="00EF34E0">
        <w:t>that this proof method causes many difficulties to students including mathematics graduates</w:t>
      </w:r>
      <w:r w:rsidR="00C65036">
        <w:t xml:space="preserve"> </w:t>
      </w:r>
      <w:r w:rsidRPr="00EF34E0">
        <w:t>(</w:t>
      </w:r>
      <w:r w:rsidR="00932E04">
        <w:t xml:space="preserve">Dubinsky, 1986, 1990; Dubinsky &amp; </w:t>
      </w:r>
      <w:proofErr w:type="spellStart"/>
      <w:r w:rsidR="00932E04">
        <w:t>Lewin</w:t>
      </w:r>
      <w:proofErr w:type="spellEnd"/>
      <w:r w:rsidR="00932E04">
        <w:t xml:space="preserve">, 1986; </w:t>
      </w:r>
      <w:proofErr w:type="spellStart"/>
      <w:r w:rsidR="00932E04">
        <w:t>Harel</w:t>
      </w:r>
      <w:proofErr w:type="spellEnd"/>
      <w:r w:rsidR="00932E04">
        <w:t xml:space="preserve">, 2002; Knuth, 2002; </w:t>
      </w:r>
      <w:proofErr w:type="spellStart"/>
      <w:r w:rsidR="00932E04">
        <w:t>Movshovitz-Hadar</w:t>
      </w:r>
      <w:proofErr w:type="spellEnd"/>
      <w:r w:rsidR="00932E04">
        <w:t xml:space="preserve">, 1993; Stylianides, Stylianides &amp; </w:t>
      </w:r>
      <w:proofErr w:type="spellStart"/>
      <w:r w:rsidR="00932E04">
        <w:t>Philippou</w:t>
      </w:r>
      <w:proofErr w:type="spellEnd"/>
      <w:r w:rsidR="00932E04">
        <w:t>, 2007</w:t>
      </w:r>
      <w:r w:rsidRPr="00EF34E0">
        <w:t>) and</w:t>
      </w:r>
      <w:r w:rsidR="003B688D">
        <w:t xml:space="preserve"> </w:t>
      </w:r>
      <w:r w:rsidR="003735CA">
        <w:t xml:space="preserve">(2) </w:t>
      </w:r>
      <w:r w:rsidRPr="00EF34E0">
        <w:t xml:space="preserve">that </w:t>
      </w:r>
      <w:r w:rsidR="003B688D">
        <w:t>most</w:t>
      </w:r>
      <w:r w:rsidRPr="00EF34E0">
        <w:t xml:space="preserve"> of </w:t>
      </w:r>
      <w:r w:rsidR="003B688D">
        <w:t xml:space="preserve">the </w:t>
      </w:r>
      <w:r w:rsidR="00932E04">
        <w:t>prospective teachers</w:t>
      </w:r>
      <w:r w:rsidR="00932E04" w:rsidRPr="00EF34E0">
        <w:t xml:space="preserve"> </w:t>
      </w:r>
      <w:r w:rsidR="003B688D">
        <w:t>would not have ever seen this</w:t>
      </w:r>
      <w:r w:rsidRPr="00EF34E0">
        <w:t xml:space="preserve"> proof method used in </w:t>
      </w:r>
      <w:r w:rsidR="003B688D">
        <w:t>g</w:t>
      </w:r>
      <w:r w:rsidRPr="00EF34E0">
        <w:t>eometry</w:t>
      </w:r>
      <w:r w:rsidR="003B688D">
        <w:rPr>
          <w:rStyle w:val="FootnoteReference"/>
        </w:rPr>
        <w:footnoteReference w:id="1"/>
      </w:r>
      <w:r w:rsidRPr="00EF34E0">
        <w:t>.  So the student work motivated revisiting the mathematical task to produce a proof by mathematical induction</w:t>
      </w:r>
      <w:r w:rsidR="003B688D">
        <w:t>,</w:t>
      </w:r>
      <w:r w:rsidRPr="00EF34E0">
        <w:t xml:space="preserve"> </w:t>
      </w:r>
      <w:r w:rsidR="00EC1088">
        <w:t xml:space="preserve">first </w:t>
      </w:r>
      <w:r w:rsidRPr="00EF34E0">
        <w:t>for the sum of exterior angles of convex polygons</w:t>
      </w:r>
      <w:r w:rsidR="00EC1088">
        <w:t xml:space="preserve"> and then for the sum of interior angles</w:t>
      </w:r>
      <w:r w:rsidR="00932E04">
        <w:t xml:space="preserve">.  </w:t>
      </w:r>
      <w:r w:rsidR="00EC1088">
        <w:t xml:space="preserve">Specifically, </w:t>
      </w:r>
      <w:r w:rsidR="00932E04">
        <w:t xml:space="preserve">Stylianides provided </w:t>
      </w:r>
      <w:r w:rsidRPr="00EF34E0">
        <w:t xml:space="preserve">a brief reminder </w:t>
      </w:r>
      <w:r w:rsidR="00932E04">
        <w:t>of</w:t>
      </w:r>
      <w:r w:rsidRPr="00EF34E0">
        <w:t xml:space="preserve"> proof </w:t>
      </w:r>
      <w:r w:rsidR="003735CA">
        <w:t xml:space="preserve">by </w:t>
      </w:r>
      <w:r w:rsidRPr="00EF34E0">
        <w:t>mathematical induction</w:t>
      </w:r>
      <w:r w:rsidR="00BD72C5">
        <w:t xml:space="preserve"> (see Figure 3)</w:t>
      </w:r>
      <w:r w:rsidR="00932E04">
        <w:t xml:space="preserve"> and then asked them </w:t>
      </w:r>
      <w:r w:rsidRPr="00EF34E0">
        <w:t xml:space="preserve">to think about the connection between their mathematical work and the work of the student in </w:t>
      </w:r>
      <w:r w:rsidR="00932E04">
        <w:t>Figure 2</w:t>
      </w:r>
      <w:r w:rsidR="006E7322">
        <w:t>:</w:t>
      </w:r>
    </w:p>
    <w:p w:rsidR="006E7322" w:rsidRDefault="00EC1088" w:rsidP="00EC1088">
      <w:pPr>
        <w:ind w:left="720"/>
      </w:pPr>
      <w:r>
        <w:t>Use Proof by Mathematical Induction to prove that the sum of the exterior angles of any convex polygon is 360</w:t>
      </w:r>
      <w:r>
        <w:rPr>
          <w:vertAlign w:val="superscript"/>
        </w:rPr>
        <w:t>0</w:t>
      </w:r>
      <w:r>
        <w:t xml:space="preserve">. How does your proof relate to </w:t>
      </w:r>
      <w:proofErr w:type="spellStart"/>
      <w:r>
        <w:t>Inbal’s</w:t>
      </w:r>
      <w:proofErr w:type="spellEnd"/>
      <w:r>
        <w:t xml:space="preserve"> argument [see Figure 2]? </w:t>
      </w:r>
      <w:r w:rsidR="0086105D" w:rsidRPr="00EF34E0">
        <w:t xml:space="preserve">  </w:t>
      </w:r>
    </w:p>
    <w:p w:rsidR="0086105D" w:rsidRPr="00EF34E0" w:rsidRDefault="0086105D" w:rsidP="0086105D">
      <w:r w:rsidRPr="00EF34E0">
        <w:lastRenderedPageBreak/>
        <w:t xml:space="preserve">Below are some excerpts from </w:t>
      </w:r>
      <w:r w:rsidR="00932E04">
        <w:t xml:space="preserve">prospective teachers’ </w:t>
      </w:r>
      <w:r w:rsidRPr="00EF34E0">
        <w:t xml:space="preserve">responses to Prompt 1 in Table </w:t>
      </w:r>
      <w:r w:rsidR="00932E04">
        <w:t xml:space="preserve">1 </w:t>
      </w:r>
      <w:r w:rsidRPr="00EF34E0">
        <w:t xml:space="preserve">in relation to their mathematical work in this section of the session: </w:t>
      </w:r>
    </w:p>
    <w:p w:rsidR="0086105D" w:rsidRPr="00EF34E0" w:rsidRDefault="0086105D" w:rsidP="008204CA">
      <w:pPr>
        <w:numPr>
          <w:ilvl w:val="0"/>
          <w:numId w:val="4"/>
        </w:numPr>
        <w:spacing w:after="0" w:line="240" w:lineRule="auto"/>
      </w:pPr>
      <w:r w:rsidRPr="00EF34E0">
        <w:t>Proof by induction for geometry was another thing I had not done before. It was interesting to apply the mathematical induction knowledge to a different environment then I am used to.</w:t>
      </w:r>
    </w:p>
    <w:p w:rsidR="0086105D" w:rsidRPr="00EF34E0" w:rsidRDefault="0086105D" w:rsidP="008204CA">
      <w:pPr>
        <w:numPr>
          <w:ilvl w:val="0"/>
          <w:numId w:val="4"/>
        </w:numPr>
        <w:spacing w:after="0" w:line="240" w:lineRule="auto"/>
      </w:pPr>
      <w:r w:rsidRPr="00EF34E0">
        <w:t>I found the proofs by mathematical induction interesting mainly because I can’t remember studying this myself, so it was a new concept to me.</w:t>
      </w:r>
    </w:p>
    <w:p w:rsidR="0086105D" w:rsidRPr="00EF34E0" w:rsidRDefault="0086105D" w:rsidP="008204CA">
      <w:pPr>
        <w:numPr>
          <w:ilvl w:val="0"/>
          <w:numId w:val="4"/>
        </w:numPr>
        <w:spacing w:after="0" w:line="240" w:lineRule="auto"/>
      </w:pPr>
      <w:r w:rsidRPr="00EF34E0">
        <w:t>Correspondence between thought processes for geometrical argument and proof by induction</w:t>
      </w:r>
      <w:r w:rsidR="00705F76">
        <w:t>.</w:t>
      </w:r>
    </w:p>
    <w:p w:rsidR="0086105D" w:rsidRPr="00EF34E0" w:rsidRDefault="0086105D" w:rsidP="008204CA">
      <w:pPr>
        <w:numPr>
          <w:ilvl w:val="0"/>
          <w:numId w:val="4"/>
        </w:numPr>
        <w:spacing w:after="0" w:line="240" w:lineRule="auto"/>
      </w:pPr>
      <w:r w:rsidRPr="00EF34E0">
        <w:t>Key because: shows how inductive type arguments are common and full induction can arise from other arguments and illustrations.</w:t>
      </w:r>
    </w:p>
    <w:p w:rsidR="0086105D" w:rsidRDefault="0086105D" w:rsidP="008204CA">
      <w:pPr>
        <w:numPr>
          <w:ilvl w:val="0"/>
          <w:numId w:val="4"/>
        </w:numPr>
        <w:spacing w:after="0" w:line="240" w:lineRule="auto"/>
      </w:pPr>
      <w:r w:rsidRPr="00EF34E0">
        <w:t xml:space="preserve">The switch from geometric diagrammatical proofs to more rigorous proofs by induction was interesting as it made me think which would be more relevant for a certain class. While the inductive proof was certainly more mathematically sound for students to understand the mechanics involved I think it would be </w:t>
      </w:r>
      <w:r w:rsidR="003B688D">
        <w:t>b</w:t>
      </w:r>
      <w:r w:rsidRPr="00EF34E0">
        <w:t xml:space="preserve">etter to use the diagrams. </w:t>
      </w:r>
    </w:p>
    <w:p w:rsidR="00885FFF" w:rsidRDefault="00885FFF" w:rsidP="00885FFF">
      <w:pPr>
        <w:spacing w:after="0" w:line="240" w:lineRule="auto"/>
        <w:rPr>
          <w:i/>
        </w:rPr>
      </w:pPr>
    </w:p>
    <w:p w:rsidR="00885FFF" w:rsidRPr="00885FFF" w:rsidRDefault="00885FFF" w:rsidP="00885FFF">
      <w:pPr>
        <w:spacing w:after="0" w:line="240" w:lineRule="auto"/>
        <w:rPr>
          <w:i/>
        </w:rPr>
      </w:pPr>
      <w:r w:rsidRPr="00885FFF">
        <w:rPr>
          <w:i/>
        </w:rPr>
        <w:t>Figure</w:t>
      </w:r>
      <w:r>
        <w:rPr>
          <w:i/>
        </w:rPr>
        <w:t xml:space="preserve"> 3</w:t>
      </w:r>
      <w:r w:rsidRPr="00885FFF">
        <w:rPr>
          <w:i/>
        </w:rPr>
        <w:t xml:space="preserve">: </w:t>
      </w:r>
      <w:r>
        <w:rPr>
          <w:i/>
        </w:rPr>
        <w:t>Proof by mathematical induction</w:t>
      </w:r>
      <w:r w:rsidRPr="00885FFF">
        <w:rPr>
          <w:i/>
        </w:rPr>
        <w:t>.</w:t>
      </w:r>
    </w:p>
    <w:p w:rsidR="003E1FFE" w:rsidRDefault="001B7A52" w:rsidP="00885FFF">
      <w:pPr>
        <w:jc w:val="center"/>
        <w:rPr>
          <w:b/>
        </w:rPr>
      </w:pPr>
      <w:r w:rsidRPr="001B7A52">
        <w:rPr>
          <w:b/>
          <w:noProof/>
          <w:lang w:val="en-GB" w:eastAsia="en-GB" w:bidi="ar-SA"/>
        </w:rPr>
        <w:drawing>
          <wp:inline distT="0" distB="0" distL="0" distR="0">
            <wp:extent cx="3460044" cy="25950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60044" cy="2595033"/>
                    </a:xfrm>
                    <a:prstGeom prst="rect">
                      <a:avLst/>
                    </a:prstGeom>
                    <a:noFill/>
                    <a:ln>
                      <a:noFill/>
                    </a:ln>
                  </pic:spPr>
                </pic:pic>
              </a:graphicData>
            </a:graphic>
          </wp:inline>
        </w:drawing>
      </w:r>
    </w:p>
    <w:p w:rsidR="0086105D" w:rsidRPr="00EF34E0" w:rsidRDefault="006F30A1" w:rsidP="0086105D">
      <w:r>
        <w:rPr>
          <w:b/>
        </w:rPr>
        <w:t xml:space="preserve">Main session part 4: </w:t>
      </w:r>
      <w:r w:rsidR="0086105D" w:rsidRPr="008204CA">
        <w:rPr>
          <w:b/>
        </w:rPr>
        <w:t>Discussion of different task formulations</w:t>
      </w:r>
    </w:p>
    <w:p w:rsidR="00E87FC9" w:rsidRDefault="00F97D0F" w:rsidP="0086105D">
      <w:r>
        <w:t xml:space="preserve">After </w:t>
      </w:r>
      <w:r w:rsidR="0086105D" w:rsidRPr="00EF34E0">
        <w:t xml:space="preserve">a brief </w:t>
      </w:r>
      <w:r w:rsidR="00736254">
        <w:t xml:space="preserve">summary </w:t>
      </w:r>
      <w:r w:rsidR="0086105D" w:rsidRPr="00EF34E0">
        <w:t>of the activities that were covered in the session thus far</w:t>
      </w:r>
      <w:r w:rsidR="00892D3D">
        <w:t xml:space="preserve">, Stylianides introduced </w:t>
      </w:r>
      <w:r w:rsidR="0086105D" w:rsidRPr="00EF34E0">
        <w:t xml:space="preserve">the next activity presented in </w:t>
      </w:r>
      <w:r w:rsidR="00892D3D">
        <w:t xml:space="preserve">Figure </w:t>
      </w:r>
      <w:r w:rsidR="005B2719">
        <w:t>4</w:t>
      </w:r>
      <w:r w:rsidR="0086105D" w:rsidRPr="00EF34E0">
        <w:t>.</w:t>
      </w:r>
      <w:r w:rsidR="00736254">
        <w:t xml:space="preserve"> Note here that Stylianides did not </w:t>
      </w:r>
      <w:r w:rsidR="00D867B7">
        <w:t xml:space="preserve">explicitly </w:t>
      </w:r>
      <w:r w:rsidR="00736254">
        <w:t xml:space="preserve">mention </w:t>
      </w:r>
      <w:r w:rsidR="005B454C">
        <w:t>the purpose served by the particular selection of the student work in terms of</w:t>
      </w:r>
      <w:r w:rsidR="001D5C84">
        <w:t xml:space="preserve"> initia</w:t>
      </w:r>
      <w:r w:rsidR="00D867B7">
        <w:t>ting</w:t>
      </w:r>
      <w:r w:rsidR="005B454C">
        <w:t xml:space="preserve"> further mathematical work on the task. It is likely that this feature of the design of the sequence </w:t>
      </w:r>
      <w:r w:rsidR="005B2719">
        <w:t xml:space="preserve">went </w:t>
      </w:r>
      <w:r w:rsidR="005B454C">
        <w:t>unnoticed by the majority of the prospective teachers, thinking that the analysis of student</w:t>
      </w:r>
      <w:r w:rsidR="00D867B7">
        <w:t xml:space="preserve"> work</w:t>
      </w:r>
      <w:r w:rsidR="005B454C">
        <w:t xml:space="preserve"> was </w:t>
      </w:r>
      <w:r w:rsidR="001D5C84">
        <w:t xml:space="preserve">merely </w:t>
      </w:r>
      <w:r w:rsidR="005B454C">
        <w:t>part of the</w:t>
      </w:r>
      <w:r w:rsidR="00D867B7">
        <w:t xml:space="preserve"> normal</w:t>
      </w:r>
      <w:r w:rsidR="005B454C">
        <w:t xml:space="preserve"> emphasis in the course of carefully attending to student contributions during a lesson. </w:t>
      </w:r>
    </w:p>
    <w:p w:rsidR="00AF6F6C" w:rsidRPr="00E87FC9" w:rsidRDefault="00E87FC9" w:rsidP="0086105D">
      <w:pPr>
        <w:rPr>
          <w:i/>
        </w:rPr>
      </w:pPr>
      <w:r w:rsidRPr="008204CA">
        <w:rPr>
          <w:i/>
        </w:rPr>
        <w:t>Figure</w:t>
      </w:r>
      <w:r>
        <w:rPr>
          <w:i/>
        </w:rPr>
        <w:t xml:space="preserve"> </w:t>
      </w:r>
      <w:r w:rsidR="005B2719">
        <w:rPr>
          <w:i/>
        </w:rPr>
        <w:t>4</w:t>
      </w:r>
      <w:r w:rsidRPr="008204CA">
        <w:rPr>
          <w:i/>
        </w:rPr>
        <w:t xml:space="preserve">: </w:t>
      </w:r>
      <w:r>
        <w:rPr>
          <w:i/>
        </w:rPr>
        <w:t>Discussion of different task formulations</w:t>
      </w:r>
      <w:r w:rsidRPr="008204CA">
        <w:rPr>
          <w:i/>
        </w:rPr>
        <w:t>.</w:t>
      </w:r>
      <w:r w:rsidR="0086105D" w:rsidRPr="00EF34E0">
        <w:t xml:space="preserve"> </w:t>
      </w:r>
    </w:p>
    <w:p w:rsidR="00AF6F6C" w:rsidRDefault="001B7A52" w:rsidP="00AA154C">
      <w:pPr>
        <w:jc w:val="center"/>
      </w:pPr>
      <w:r w:rsidRPr="001B7A52">
        <w:rPr>
          <w:noProof/>
          <w:lang w:val="en-GB" w:eastAsia="en-GB" w:bidi="ar-SA"/>
        </w:rPr>
        <w:lastRenderedPageBreak/>
        <w:drawing>
          <wp:inline distT="0" distB="0" distL="0" distR="0">
            <wp:extent cx="30480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0" cy="2286000"/>
                    </a:xfrm>
                    <a:prstGeom prst="rect">
                      <a:avLst/>
                    </a:prstGeom>
                    <a:noFill/>
                    <a:ln>
                      <a:noFill/>
                    </a:ln>
                  </pic:spPr>
                </pic:pic>
              </a:graphicData>
            </a:graphic>
          </wp:inline>
        </w:drawing>
      </w:r>
    </w:p>
    <w:p w:rsidR="0086105D" w:rsidRPr="00EF34E0" w:rsidRDefault="005D00FF" w:rsidP="0086105D">
      <w:r>
        <w:t>T</w:t>
      </w:r>
      <w:r w:rsidR="0086105D" w:rsidRPr="00EF34E0">
        <w:t>he new activity</w:t>
      </w:r>
      <w:r>
        <w:t xml:space="preserve"> </w:t>
      </w:r>
      <w:r w:rsidR="0086105D" w:rsidRPr="00EF34E0">
        <w:t xml:space="preserve">asked </w:t>
      </w:r>
      <w:r>
        <w:t>for</w:t>
      </w:r>
      <w:r w:rsidR="0086105D" w:rsidRPr="00EF34E0">
        <w:t xml:space="preserve"> compar</w:t>
      </w:r>
      <w:r>
        <w:t>ison of</w:t>
      </w:r>
      <w:r w:rsidR="0086105D" w:rsidRPr="00EF34E0">
        <w:t xml:space="preserve"> four different formulations of the mathematical task </w:t>
      </w:r>
      <w:r w:rsidR="00D14907">
        <w:t xml:space="preserve">that the class </w:t>
      </w:r>
      <w:r w:rsidR="0086105D" w:rsidRPr="00EF34E0">
        <w:t>worked on earlier (</w:t>
      </w:r>
      <w:r w:rsidR="00FD3590">
        <w:t>Figure 1</w:t>
      </w:r>
      <w:r w:rsidR="0086105D" w:rsidRPr="00EF34E0">
        <w:t xml:space="preserve">) in terms of the kind of student activity each formulation would likely support in </w:t>
      </w:r>
      <w:r w:rsidR="00D14907">
        <w:t xml:space="preserve">the </w:t>
      </w:r>
      <w:r w:rsidR="0086105D" w:rsidRPr="00EF34E0">
        <w:t xml:space="preserve">classroom. This activity </w:t>
      </w:r>
      <w:proofErr w:type="spellStart"/>
      <w:r w:rsidR="0086105D" w:rsidRPr="00EF34E0">
        <w:t>capitali</w:t>
      </w:r>
      <w:r w:rsidR="005B454C">
        <w:t>s</w:t>
      </w:r>
      <w:r w:rsidR="0086105D" w:rsidRPr="00EF34E0">
        <w:t>ed</w:t>
      </w:r>
      <w:proofErr w:type="spellEnd"/>
      <w:r w:rsidR="0086105D" w:rsidRPr="00EF34E0">
        <w:t xml:space="preserve"> on </w:t>
      </w:r>
      <w:r w:rsidR="00FD3590">
        <w:t>prospective teachers</w:t>
      </w:r>
      <w:r w:rsidR="0086105D" w:rsidRPr="00EF34E0">
        <w:t xml:space="preserve">’ earlier mathematical and pedagogical work because they could use their experiences and insights in the discussion of the new </w:t>
      </w:r>
      <w:r w:rsidR="00FD3590">
        <w:t>activity</w:t>
      </w:r>
      <w:r w:rsidR="0086105D" w:rsidRPr="00EF34E0">
        <w:t>.</w:t>
      </w:r>
    </w:p>
    <w:p w:rsidR="0086105D" w:rsidRPr="00EF34E0" w:rsidRDefault="0086105D" w:rsidP="0086105D">
      <w:r w:rsidRPr="00EF34E0">
        <w:t>A</w:t>
      </w:r>
      <w:r w:rsidR="00FD3590">
        <w:t xml:space="preserve">s we will discuss in a following section, </w:t>
      </w:r>
      <w:r w:rsidRPr="00EF34E0">
        <w:t xml:space="preserve">coding of responses to Prompt 2 in Table 1 indicates that most ideas that the </w:t>
      </w:r>
      <w:r w:rsidR="00DC7594">
        <w:t>prospective teacher</w:t>
      </w:r>
      <w:r w:rsidRPr="00EF34E0">
        <w:t xml:space="preserve">s mentioned in terms of their future planning and teaching arose from the activity in </w:t>
      </w:r>
      <w:r w:rsidR="00FD3590">
        <w:t xml:space="preserve">Figure </w:t>
      </w:r>
      <w:r w:rsidR="005B2719">
        <w:t>4</w:t>
      </w:r>
      <w:r w:rsidRPr="00EF34E0">
        <w:t>. Below are some illustrative examples of responses to Prompt 2 in relation to this activity:</w:t>
      </w:r>
    </w:p>
    <w:p w:rsidR="0086105D" w:rsidRPr="00EF34E0" w:rsidRDefault="0086105D" w:rsidP="006849F8">
      <w:pPr>
        <w:numPr>
          <w:ilvl w:val="0"/>
          <w:numId w:val="3"/>
        </w:numPr>
        <w:spacing w:after="0" w:line="240" w:lineRule="auto"/>
      </w:pPr>
      <w:r w:rsidRPr="00EF34E0">
        <w:t>Listening to how the statement of the task can be written in a number of different ways and how these can motivate students differently made me think that I will need to consider the best formulation of the task for my lesson objectives in each lesson.</w:t>
      </w:r>
    </w:p>
    <w:p w:rsidR="0086105D" w:rsidRPr="00EF34E0" w:rsidRDefault="0086105D" w:rsidP="006849F8">
      <w:pPr>
        <w:numPr>
          <w:ilvl w:val="0"/>
          <w:numId w:val="3"/>
        </w:numPr>
        <w:spacing w:after="0" w:line="240" w:lineRule="auto"/>
      </w:pPr>
      <w:r w:rsidRPr="00EF34E0">
        <w:t>Careful consideration when I am designing a task, especially the purpose the task is aimed to achieve and to what extent is it going to achieve it.</w:t>
      </w:r>
    </w:p>
    <w:p w:rsidR="0086105D" w:rsidRPr="00EF34E0" w:rsidRDefault="0086105D" w:rsidP="006849F8">
      <w:pPr>
        <w:numPr>
          <w:ilvl w:val="0"/>
          <w:numId w:val="3"/>
        </w:numPr>
        <w:spacing w:after="0" w:line="240" w:lineRule="auto"/>
      </w:pPr>
      <w:r w:rsidRPr="00EF34E0">
        <w:t>Discussion of different activities to offer students led me to think that we could also discuss these possible activities within the class – so students could have their preferences and justify their choices.</w:t>
      </w:r>
    </w:p>
    <w:p w:rsidR="0086105D" w:rsidRPr="00EF34E0" w:rsidRDefault="0086105D" w:rsidP="006849F8">
      <w:pPr>
        <w:numPr>
          <w:ilvl w:val="0"/>
          <w:numId w:val="3"/>
        </w:numPr>
        <w:spacing w:after="0" w:line="240" w:lineRule="auto"/>
      </w:pPr>
      <w:r w:rsidRPr="00EF34E0">
        <w:t>I will think more carefully about how I phrase a question when asking pupils to prove something to get them to follow a specific path or try many different things.</w:t>
      </w:r>
    </w:p>
    <w:p w:rsidR="0086105D" w:rsidRPr="00EF34E0" w:rsidRDefault="0086105D" w:rsidP="006849F8">
      <w:pPr>
        <w:numPr>
          <w:ilvl w:val="0"/>
          <w:numId w:val="3"/>
        </w:numPr>
        <w:spacing w:after="0" w:line="240" w:lineRule="auto"/>
      </w:pPr>
      <w:r w:rsidRPr="00EF34E0">
        <w:t>It is important to think about the students</w:t>
      </w:r>
      <w:r w:rsidR="00641CE9">
        <w:t>’</w:t>
      </w:r>
      <w:r w:rsidRPr="00EF34E0">
        <w:t xml:space="preserve"> thinking when designing tasks. </w:t>
      </w:r>
      <w:r w:rsidR="00641CE9">
        <w:t>W</w:t>
      </w:r>
      <w:r w:rsidRPr="00EF34E0">
        <w:t xml:space="preserve">hat will the task provoke them to do? Will they understand what they have to do? Will it give them an opportunity to </w:t>
      </w:r>
      <w:proofErr w:type="spellStart"/>
      <w:r w:rsidRPr="00EF34E0">
        <w:t>generalise</w:t>
      </w:r>
      <w:proofErr w:type="spellEnd"/>
      <w:r w:rsidRPr="00EF34E0">
        <w:t xml:space="preserve"> or will it be too time consuming?</w:t>
      </w:r>
    </w:p>
    <w:p w:rsidR="0086105D" w:rsidRPr="00EF34E0" w:rsidRDefault="0086105D" w:rsidP="006849F8">
      <w:pPr>
        <w:numPr>
          <w:ilvl w:val="0"/>
          <w:numId w:val="3"/>
        </w:numPr>
        <w:spacing w:after="0" w:line="240" w:lineRule="auto"/>
      </w:pPr>
      <w:r w:rsidRPr="00EF34E0">
        <w:t>Evaluate carefully the group that you are teaching in order to decide how to set each task</w:t>
      </w:r>
      <w:r w:rsidR="00F15F26">
        <w:t>.</w:t>
      </w:r>
    </w:p>
    <w:p w:rsidR="0086105D" w:rsidRDefault="0086105D" w:rsidP="00641CE9">
      <w:pPr>
        <w:numPr>
          <w:ilvl w:val="0"/>
          <w:numId w:val="3"/>
        </w:numPr>
        <w:spacing w:after="0" w:line="240" w:lineRule="auto"/>
      </w:pPr>
      <w:r w:rsidRPr="00EF34E0">
        <w:t>Continuing to think about task design and the implications of the decisions (however seemingly inconsequential) that teachers make.</w:t>
      </w:r>
    </w:p>
    <w:p w:rsidR="0086105D" w:rsidRPr="00EF34E0" w:rsidRDefault="0086105D" w:rsidP="006849F8">
      <w:pPr>
        <w:spacing w:after="0" w:line="240" w:lineRule="auto"/>
        <w:ind w:left="720"/>
      </w:pPr>
    </w:p>
    <w:p w:rsidR="0086105D" w:rsidRPr="00EF34E0" w:rsidRDefault="0086105D" w:rsidP="0086105D">
      <w:r w:rsidRPr="00EF34E0">
        <w:t xml:space="preserve">It seems that </w:t>
      </w:r>
      <w:r w:rsidR="007E7847">
        <w:t>the discussion of different task formulations</w:t>
      </w:r>
      <w:r w:rsidR="001D5C84">
        <w:t xml:space="preserve"> had</w:t>
      </w:r>
      <w:r w:rsidR="007E7847">
        <w:t xml:space="preserve"> </w:t>
      </w:r>
      <w:r w:rsidRPr="00EF34E0">
        <w:t xml:space="preserve">made explicit the important connection between what the teacher says and how </w:t>
      </w:r>
      <w:r w:rsidR="00977C0A">
        <w:t>mathematical</w:t>
      </w:r>
      <w:r w:rsidRPr="00EF34E0">
        <w:t xml:space="preserve"> action is shaped by what has been said. This could be expressed as indicating a need to </w:t>
      </w:r>
      <w:r w:rsidR="003B688D">
        <w:t>plan for</w:t>
      </w:r>
      <w:r w:rsidRPr="00EF34E0">
        <w:t xml:space="preserve"> the move from </w:t>
      </w:r>
      <w:proofErr w:type="spellStart"/>
      <w:r w:rsidRPr="00EF34E0">
        <w:t>intermental</w:t>
      </w:r>
      <w:proofErr w:type="spellEnd"/>
      <w:r w:rsidRPr="00EF34E0">
        <w:t xml:space="preserve"> to </w:t>
      </w:r>
      <w:proofErr w:type="spellStart"/>
      <w:r w:rsidRPr="00EF34E0">
        <w:t>intramental</w:t>
      </w:r>
      <w:proofErr w:type="spellEnd"/>
      <w:r w:rsidRPr="00EF34E0">
        <w:t xml:space="preserve"> understanding, so that how the task</w:t>
      </w:r>
      <w:r w:rsidR="00D867B7">
        <w:t xml:space="preserve"> is</w:t>
      </w:r>
      <w:r w:rsidRPr="00EF34E0">
        <w:t xml:space="preserve"> presented becomes </w:t>
      </w:r>
      <w:proofErr w:type="spellStart"/>
      <w:r w:rsidRPr="00EF34E0">
        <w:t>internalised</w:t>
      </w:r>
      <w:proofErr w:type="spellEnd"/>
      <w:r w:rsidRPr="00EF34E0">
        <w:t xml:space="preserve"> by learners rather than </w:t>
      </w:r>
      <w:r w:rsidRPr="00EF34E0">
        <w:lastRenderedPageBreak/>
        <w:t>interpreted merely as direct instruction</w:t>
      </w:r>
      <w:r w:rsidR="003B688D">
        <w:t>.</w:t>
      </w:r>
      <w:r w:rsidRPr="00EF34E0">
        <w:t xml:space="preserve"> </w:t>
      </w:r>
      <w:r w:rsidR="003B688D">
        <w:t>W</w:t>
      </w:r>
      <w:r w:rsidRPr="00EF34E0">
        <w:t>e shall return to this possibility in the analysis of the responses to the second task</w:t>
      </w:r>
      <w:r w:rsidR="003B688D">
        <w:t xml:space="preserve"> sequence</w:t>
      </w:r>
      <w:r w:rsidRPr="00EF34E0">
        <w:t>.</w:t>
      </w:r>
    </w:p>
    <w:p w:rsidR="00A832C6" w:rsidRDefault="00A832C6" w:rsidP="00A832C6">
      <w:pPr>
        <w:spacing w:after="0" w:line="240" w:lineRule="auto"/>
        <w:rPr>
          <w:b/>
        </w:rPr>
      </w:pPr>
    </w:p>
    <w:p w:rsidR="0086105D" w:rsidRPr="00EF34E0" w:rsidRDefault="0086105D" w:rsidP="0086105D">
      <w:r w:rsidRPr="008204CA">
        <w:rPr>
          <w:b/>
        </w:rPr>
        <w:t>Conclusion</w:t>
      </w:r>
    </w:p>
    <w:p w:rsidR="0086105D" w:rsidRDefault="006F30A1" w:rsidP="0086105D">
      <w:r>
        <w:t>The session ended with Stylianides providing a summary overview of the different activities in the session. The overview served as a reminder of the activities and did not include discussion of Stylianides’ intentions for the activities</w:t>
      </w:r>
      <w:r w:rsidR="00C8303D">
        <w:t xml:space="preserve"> in order not to influence prospective teachers’ responses </w:t>
      </w:r>
      <w:r w:rsidR="0086105D" w:rsidRPr="00EF34E0">
        <w:t xml:space="preserve">to the two prompts in </w:t>
      </w:r>
      <w:r w:rsidR="00D14907">
        <w:t>the questionnaire</w:t>
      </w:r>
      <w:r w:rsidR="00C8303D">
        <w:t xml:space="preserve"> that followed</w:t>
      </w:r>
      <w:r w:rsidR="0086105D" w:rsidRPr="00EF34E0">
        <w:t xml:space="preserve">. </w:t>
      </w:r>
    </w:p>
    <w:p w:rsidR="005B2719" w:rsidRPr="00EF34E0" w:rsidRDefault="005B2719" w:rsidP="005B2719">
      <w:pPr>
        <w:spacing w:after="0" w:line="240" w:lineRule="auto"/>
      </w:pPr>
    </w:p>
    <w:p w:rsidR="006F30A1" w:rsidRPr="008204CA" w:rsidRDefault="006F30A1" w:rsidP="0086105D">
      <w:pPr>
        <w:rPr>
          <w:b/>
        </w:rPr>
      </w:pPr>
      <w:r>
        <w:rPr>
          <w:b/>
        </w:rPr>
        <w:t>CODING OF PROSPECTIVE TEACHERS’ RESPONSES TO THE TWO PROMPTS</w:t>
      </w:r>
    </w:p>
    <w:p w:rsidR="0086105D" w:rsidRPr="00EF34E0" w:rsidRDefault="0086105D" w:rsidP="0086105D">
      <w:r w:rsidRPr="00EF34E0">
        <w:t xml:space="preserve">Table 2 summarizes the number of times each of the activities in the main part of the session was mentioned (directly or indirectly) in </w:t>
      </w:r>
      <w:r w:rsidR="00CF25EB">
        <w:t xml:space="preserve">prospective teachers’ </w:t>
      </w:r>
      <w:r w:rsidRPr="00EF34E0">
        <w:t xml:space="preserve">responses to Prompt 1. The codes were derived from the description of the session provided above: </w:t>
      </w:r>
    </w:p>
    <w:p w:rsidR="0086105D" w:rsidRPr="00EF34E0" w:rsidRDefault="0086105D" w:rsidP="006849F8">
      <w:pPr>
        <w:numPr>
          <w:ilvl w:val="0"/>
          <w:numId w:val="2"/>
        </w:numPr>
        <w:spacing w:after="0" w:line="240" w:lineRule="auto"/>
      </w:pPr>
      <w:r w:rsidRPr="00EF34E0">
        <w:t>Mathematical work (main session</w:t>
      </w:r>
      <w:r w:rsidR="00CF25EB">
        <w:t xml:space="preserve"> parts </w:t>
      </w:r>
      <w:r w:rsidRPr="00EF34E0">
        <w:t>1 and 3)</w:t>
      </w:r>
      <w:r w:rsidR="00705F76">
        <w:t>;</w:t>
      </w:r>
    </w:p>
    <w:p w:rsidR="0086105D" w:rsidRPr="00EF34E0" w:rsidRDefault="0086105D" w:rsidP="006849F8">
      <w:pPr>
        <w:numPr>
          <w:ilvl w:val="0"/>
          <w:numId w:val="2"/>
        </w:numPr>
        <w:spacing w:after="0" w:line="240" w:lineRule="auto"/>
      </w:pPr>
      <w:r w:rsidRPr="00EF34E0">
        <w:t>Analysis of student work (main session</w:t>
      </w:r>
      <w:r w:rsidR="00CF25EB">
        <w:t xml:space="preserve"> part </w:t>
      </w:r>
      <w:r w:rsidRPr="00EF34E0">
        <w:t>2)</w:t>
      </w:r>
      <w:r w:rsidR="00705F76">
        <w:t>;</w:t>
      </w:r>
      <w:r w:rsidRPr="00EF34E0">
        <w:t xml:space="preserve"> and</w:t>
      </w:r>
    </w:p>
    <w:p w:rsidR="0086105D" w:rsidRPr="00EF34E0" w:rsidRDefault="0086105D" w:rsidP="006849F8">
      <w:pPr>
        <w:numPr>
          <w:ilvl w:val="0"/>
          <w:numId w:val="2"/>
        </w:numPr>
        <w:spacing w:after="0" w:line="240" w:lineRule="auto"/>
      </w:pPr>
      <w:r w:rsidRPr="00EF34E0">
        <w:t>Discussion of different task formulations (main session</w:t>
      </w:r>
      <w:r w:rsidR="00CF25EB">
        <w:t xml:space="preserve"> part </w:t>
      </w:r>
      <w:r w:rsidRPr="00EF34E0">
        <w:t>4).</w:t>
      </w:r>
    </w:p>
    <w:p w:rsidR="00CF25EB" w:rsidRDefault="00CF25EB" w:rsidP="00CF25EB">
      <w:pPr>
        <w:spacing w:after="0" w:line="240" w:lineRule="auto"/>
      </w:pPr>
    </w:p>
    <w:p w:rsidR="0086105D" w:rsidRPr="00EF34E0" w:rsidRDefault="0086105D" w:rsidP="00CF25EB">
      <w:pPr>
        <w:spacing w:after="0" w:line="240" w:lineRule="auto"/>
      </w:pPr>
      <w:r w:rsidRPr="00EF34E0">
        <w:t xml:space="preserve">Multiple coding of each event was possible, but this option was chosen in a restricted way.  </w:t>
      </w:r>
    </w:p>
    <w:p w:rsidR="0086105D" w:rsidRPr="00EF34E0" w:rsidRDefault="0086105D" w:rsidP="0086105D"/>
    <w:p w:rsidR="0086105D" w:rsidRPr="00EF34E0" w:rsidRDefault="0086105D" w:rsidP="0086105D">
      <w:r w:rsidRPr="008204CA">
        <w:rPr>
          <w:i/>
        </w:rPr>
        <w:t xml:space="preserve">Table 2: Coding of </w:t>
      </w:r>
      <w:r w:rsidR="006849F8">
        <w:rPr>
          <w:i/>
        </w:rPr>
        <w:t>prospective teachers’</w:t>
      </w:r>
      <w:r w:rsidRPr="008204CA">
        <w:rPr>
          <w:i/>
        </w:rPr>
        <w:t xml:space="preserve"> responses to Prompt 1</w:t>
      </w:r>
      <w:r w:rsidR="006849F8">
        <w:rPr>
          <w:i/>
        </w:rPr>
        <w:t xml:space="preserve"> in the first task sequence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0"/>
        <w:gridCol w:w="1980"/>
      </w:tblGrid>
      <w:tr w:rsidR="0086105D" w:rsidRPr="008B2DC7" w:rsidTr="008B2DC7">
        <w:tc>
          <w:tcPr>
            <w:tcW w:w="6660" w:type="dxa"/>
            <w:shd w:val="pct15" w:color="auto" w:fill="auto"/>
          </w:tcPr>
          <w:p w:rsidR="0086105D" w:rsidRPr="00A832C6" w:rsidRDefault="0086105D" w:rsidP="00A832C6">
            <w:pPr>
              <w:spacing w:before="120" w:after="120" w:line="240" w:lineRule="auto"/>
              <w:rPr>
                <w:lang w:eastAsia="ja-JP"/>
              </w:rPr>
            </w:pPr>
            <w:r w:rsidRPr="00A832C6">
              <w:rPr>
                <w:lang w:eastAsia="ja-JP"/>
              </w:rPr>
              <w:t xml:space="preserve">Activities </w:t>
            </w:r>
          </w:p>
        </w:tc>
        <w:tc>
          <w:tcPr>
            <w:tcW w:w="1980" w:type="dxa"/>
            <w:shd w:val="pct15" w:color="auto" w:fill="auto"/>
          </w:tcPr>
          <w:p w:rsidR="0086105D" w:rsidRPr="00A832C6" w:rsidRDefault="0086105D" w:rsidP="00A832C6">
            <w:pPr>
              <w:spacing w:before="120" w:after="120" w:line="240" w:lineRule="auto"/>
              <w:rPr>
                <w:lang w:eastAsia="ja-JP"/>
              </w:rPr>
            </w:pPr>
            <w:r w:rsidRPr="00A832C6">
              <w:rPr>
                <w:lang w:eastAsia="ja-JP"/>
              </w:rPr>
              <w:t>Frequencies</w:t>
            </w:r>
          </w:p>
        </w:tc>
      </w:tr>
      <w:tr w:rsidR="0086105D" w:rsidRPr="008B2DC7" w:rsidTr="008B2DC7">
        <w:tc>
          <w:tcPr>
            <w:tcW w:w="6660" w:type="dxa"/>
          </w:tcPr>
          <w:p w:rsidR="0086105D" w:rsidRPr="00A832C6" w:rsidRDefault="0086105D" w:rsidP="00A832C6">
            <w:pPr>
              <w:spacing w:before="120" w:after="120" w:line="240" w:lineRule="auto"/>
              <w:rPr>
                <w:lang w:eastAsia="ja-JP"/>
              </w:rPr>
            </w:pPr>
            <w:r w:rsidRPr="00A832C6">
              <w:rPr>
                <w:lang w:eastAsia="ja-JP"/>
              </w:rPr>
              <w:t xml:space="preserve">Mathematical work </w:t>
            </w:r>
          </w:p>
        </w:tc>
        <w:tc>
          <w:tcPr>
            <w:tcW w:w="1980" w:type="dxa"/>
          </w:tcPr>
          <w:p w:rsidR="0086105D" w:rsidRPr="00A832C6" w:rsidRDefault="0086105D" w:rsidP="00A832C6">
            <w:pPr>
              <w:spacing w:before="120" w:after="120" w:line="240" w:lineRule="auto"/>
              <w:jc w:val="center"/>
              <w:rPr>
                <w:lang w:eastAsia="ja-JP"/>
              </w:rPr>
            </w:pPr>
            <w:r w:rsidRPr="00A832C6">
              <w:rPr>
                <w:lang w:eastAsia="ja-JP"/>
              </w:rPr>
              <w:t>31</w:t>
            </w:r>
          </w:p>
        </w:tc>
      </w:tr>
      <w:tr w:rsidR="0086105D" w:rsidRPr="008B2DC7" w:rsidTr="008B2DC7">
        <w:tc>
          <w:tcPr>
            <w:tcW w:w="6660" w:type="dxa"/>
          </w:tcPr>
          <w:p w:rsidR="0086105D" w:rsidRPr="00A832C6" w:rsidRDefault="0086105D" w:rsidP="00A832C6">
            <w:pPr>
              <w:spacing w:before="120" w:after="120" w:line="240" w:lineRule="auto"/>
              <w:rPr>
                <w:lang w:eastAsia="ja-JP"/>
              </w:rPr>
            </w:pPr>
            <w:r w:rsidRPr="00A832C6">
              <w:rPr>
                <w:lang w:eastAsia="ja-JP"/>
              </w:rPr>
              <w:t xml:space="preserve">Analysis of student work </w:t>
            </w:r>
          </w:p>
        </w:tc>
        <w:tc>
          <w:tcPr>
            <w:tcW w:w="1980" w:type="dxa"/>
          </w:tcPr>
          <w:p w:rsidR="0086105D" w:rsidRPr="00A832C6" w:rsidRDefault="0086105D" w:rsidP="00A832C6">
            <w:pPr>
              <w:spacing w:before="120" w:after="120" w:line="240" w:lineRule="auto"/>
              <w:jc w:val="center"/>
              <w:rPr>
                <w:lang w:eastAsia="ja-JP"/>
              </w:rPr>
            </w:pPr>
            <w:r w:rsidRPr="00A832C6">
              <w:rPr>
                <w:lang w:eastAsia="ja-JP"/>
              </w:rPr>
              <w:t>12</w:t>
            </w:r>
          </w:p>
        </w:tc>
      </w:tr>
      <w:tr w:rsidR="0086105D" w:rsidRPr="008B2DC7" w:rsidTr="008B2DC7">
        <w:tc>
          <w:tcPr>
            <w:tcW w:w="6660" w:type="dxa"/>
          </w:tcPr>
          <w:p w:rsidR="0086105D" w:rsidRPr="00A832C6" w:rsidRDefault="0086105D" w:rsidP="00A832C6">
            <w:pPr>
              <w:spacing w:before="120" w:after="120" w:line="240" w:lineRule="auto"/>
              <w:rPr>
                <w:lang w:eastAsia="ja-JP"/>
              </w:rPr>
            </w:pPr>
            <w:r w:rsidRPr="00A832C6">
              <w:rPr>
                <w:lang w:eastAsia="ja-JP"/>
              </w:rPr>
              <w:t>Discussion of different task formulations</w:t>
            </w:r>
          </w:p>
        </w:tc>
        <w:tc>
          <w:tcPr>
            <w:tcW w:w="1980" w:type="dxa"/>
          </w:tcPr>
          <w:p w:rsidR="0086105D" w:rsidRPr="00A832C6" w:rsidRDefault="0086105D" w:rsidP="00A832C6">
            <w:pPr>
              <w:spacing w:before="120" w:after="120" w:line="240" w:lineRule="auto"/>
              <w:jc w:val="center"/>
              <w:rPr>
                <w:lang w:eastAsia="ja-JP"/>
              </w:rPr>
            </w:pPr>
            <w:r w:rsidRPr="00A832C6">
              <w:rPr>
                <w:lang w:eastAsia="ja-JP"/>
              </w:rPr>
              <w:t>25</w:t>
            </w:r>
          </w:p>
        </w:tc>
      </w:tr>
    </w:tbl>
    <w:p w:rsidR="0086105D" w:rsidRPr="00EF34E0" w:rsidRDefault="0086105D" w:rsidP="0086105D"/>
    <w:p w:rsidR="00CF25EB" w:rsidRPr="00EF34E0" w:rsidRDefault="0086105D" w:rsidP="0086105D">
      <w:r w:rsidRPr="00EF34E0">
        <w:t xml:space="preserve">Table 3 summarizes responses to Prompt 2.  The coding for Prompt 2 focused on the origin of each idea from the session, i.e. what activity / key event from the session </w:t>
      </w:r>
      <w:r w:rsidR="00D14907">
        <w:t>provoked</w:t>
      </w:r>
      <w:r w:rsidR="00D14907" w:rsidRPr="00EF34E0">
        <w:t xml:space="preserve"> </w:t>
      </w:r>
      <w:r w:rsidRPr="00EF34E0">
        <w:t xml:space="preserve">the particular idea mentioned in each </w:t>
      </w:r>
      <w:r w:rsidR="00556863">
        <w:t>prospective teacher</w:t>
      </w:r>
      <w:r w:rsidR="005D00FF">
        <w:t xml:space="preserve">’s </w:t>
      </w:r>
      <w:r w:rsidRPr="00EF34E0">
        <w:t xml:space="preserve"> response.  This allowed us to use the same codes </w:t>
      </w:r>
      <w:r w:rsidR="00556863">
        <w:t xml:space="preserve">as </w:t>
      </w:r>
      <w:r w:rsidRPr="00EF34E0">
        <w:t xml:space="preserve">for </w:t>
      </w:r>
      <w:r w:rsidR="00556863">
        <w:t xml:space="preserve">the coding of the responses in </w:t>
      </w:r>
      <w:r w:rsidRPr="00EF34E0">
        <w:t xml:space="preserve">Prompt 1. On those occasions where it was not possible to identify the particular origin of a response or the origin related to an event other </w:t>
      </w:r>
      <w:r w:rsidR="00D14907">
        <w:t xml:space="preserve">outside </w:t>
      </w:r>
      <w:r w:rsidRPr="00EF34E0">
        <w:t xml:space="preserve">the main part of the session, we used the code </w:t>
      </w:r>
      <w:r w:rsidR="00556863">
        <w:t>‘</w:t>
      </w:r>
      <w:r w:rsidRPr="00EF34E0">
        <w:t>Other</w:t>
      </w:r>
      <w:r w:rsidR="00556863">
        <w:t>’</w:t>
      </w:r>
      <w:r w:rsidRPr="00EF34E0">
        <w:t xml:space="preserve">. </w:t>
      </w:r>
      <w:r w:rsidR="00C8303D">
        <w:t xml:space="preserve">Similar to the coding </w:t>
      </w:r>
      <w:r w:rsidRPr="00EF34E0">
        <w:t xml:space="preserve">in Table 2, multiple coding of each event was possible, but this option was chosen in a restricted way. </w:t>
      </w:r>
    </w:p>
    <w:p w:rsidR="00CF25EB" w:rsidRDefault="00CF25EB" w:rsidP="007376D2">
      <w:pPr>
        <w:spacing w:after="0" w:line="240" w:lineRule="auto"/>
        <w:rPr>
          <w:i/>
        </w:rPr>
      </w:pPr>
    </w:p>
    <w:p w:rsidR="0086105D" w:rsidRPr="00EF34E0" w:rsidRDefault="0086105D" w:rsidP="0086105D">
      <w:r w:rsidRPr="008204CA">
        <w:rPr>
          <w:i/>
        </w:rPr>
        <w:t xml:space="preserve">Table 3: Coding of </w:t>
      </w:r>
      <w:r w:rsidR="006E2CE4">
        <w:rPr>
          <w:i/>
        </w:rPr>
        <w:t>prospective teachers</w:t>
      </w:r>
      <w:r w:rsidRPr="008204CA">
        <w:rPr>
          <w:i/>
        </w:rPr>
        <w:t>’ responses to Prompt 2</w:t>
      </w:r>
      <w:r w:rsidR="006849F8">
        <w:rPr>
          <w:i/>
        </w:rPr>
        <w:t xml:space="preserve"> in the </w:t>
      </w:r>
      <w:r w:rsidR="006E2CE4">
        <w:rPr>
          <w:i/>
        </w:rPr>
        <w:t>first</w:t>
      </w:r>
      <w:r w:rsidR="006849F8">
        <w:rPr>
          <w:i/>
        </w:rPr>
        <w:t xml:space="preserve"> task sequence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0"/>
        <w:gridCol w:w="1980"/>
      </w:tblGrid>
      <w:tr w:rsidR="0086105D" w:rsidRPr="008B2DC7" w:rsidTr="008B2DC7">
        <w:tc>
          <w:tcPr>
            <w:tcW w:w="6660" w:type="dxa"/>
            <w:shd w:val="pct15" w:color="auto" w:fill="auto"/>
          </w:tcPr>
          <w:p w:rsidR="0086105D" w:rsidRPr="00770294" w:rsidRDefault="0086105D" w:rsidP="00770294">
            <w:pPr>
              <w:spacing w:before="120" w:after="120" w:line="240" w:lineRule="auto"/>
              <w:rPr>
                <w:lang w:eastAsia="ja-JP"/>
              </w:rPr>
            </w:pPr>
            <w:r w:rsidRPr="00770294">
              <w:rPr>
                <w:lang w:eastAsia="ja-JP"/>
              </w:rPr>
              <w:lastRenderedPageBreak/>
              <w:t xml:space="preserve">Activity from which each idea seemed to originate </w:t>
            </w:r>
          </w:p>
        </w:tc>
        <w:tc>
          <w:tcPr>
            <w:tcW w:w="1980" w:type="dxa"/>
            <w:shd w:val="pct15" w:color="auto" w:fill="auto"/>
          </w:tcPr>
          <w:p w:rsidR="0086105D" w:rsidRPr="00770294" w:rsidRDefault="0086105D" w:rsidP="00770294">
            <w:pPr>
              <w:spacing w:before="120" w:after="120" w:line="240" w:lineRule="auto"/>
              <w:rPr>
                <w:lang w:eastAsia="ja-JP"/>
              </w:rPr>
            </w:pPr>
            <w:r w:rsidRPr="00770294">
              <w:rPr>
                <w:lang w:eastAsia="ja-JP"/>
              </w:rPr>
              <w:t>Frequencies</w:t>
            </w:r>
          </w:p>
        </w:tc>
      </w:tr>
      <w:tr w:rsidR="0086105D" w:rsidRPr="008B2DC7" w:rsidTr="008B2DC7">
        <w:tc>
          <w:tcPr>
            <w:tcW w:w="6660" w:type="dxa"/>
          </w:tcPr>
          <w:p w:rsidR="0086105D" w:rsidRPr="00770294" w:rsidRDefault="0086105D" w:rsidP="00770294">
            <w:pPr>
              <w:spacing w:before="120" w:after="120" w:line="240" w:lineRule="auto"/>
              <w:rPr>
                <w:lang w:eastAsia="ja-JP"/>
              </w:rPr>
            </w:pPr>
            <w:r w:rsidRPr="00770294">
              <w:rPr>
                <w:lang w:eastAsia="ja-JP"/>
              </w:rPr>
              <w:t xml:space="preserve">Mathematical work </w:t>
            </w:r>
          </w:p>
        </w:tc>
        <w:tc>
          <w:tcPr>
            <w:tcW w:w="1980" w:type="dxa"/>
          </w:tcPr>
          <w:p w:rsidR="0086105D" w:rsidRPr="00770294" w:rsidRDefault="0086105D" w:rsidP="00770294">
            <w:pPr>
              <w:spacing w:before="120" w:after="120" w:line="240" w:lineRule="auto"/>
              <w:jc w:val="center"/>
              <w:rPr>
                <w:lang w:eastAsia="ja-JP"/>
              </w:rPr>
            </w:pPr>
            <w:r w:rsidRPr="00770294">
              <w:rPr>
                <w:lang w:eastAsia="ja-JP"/>
              </w:rPr>
              <w:t>19</w:t>
            </w:r>
          </w:p>
        </w:tc>
      </w:tr>
      <w:tr w:rsidR="0086105D" w:rsidRPr="008B2DC7" w:rsidTr="008B2DC7">
        <w:tc>
          <w:tcPr>
            <w:tcW w:w="6660" w:type="dxa"/>
          </w:tcPr>
          <w:p w:rsidR="0086105D" w:rsidRPr="00770294" w:rsidRDefault="0086105D" w:rsidP="00770294">
            <w:pPr>
              <w:spacing w:before="120" w:after="120" w:line="240" w:lineRule="auto"/>
              <w:rPr>
                <w:lang w:eastAsia="ja-JP"/>
              </w:rPr>
            </w:pPr>
            <w:r w:rsidRPr="00770294">
              <w:rPr>
                <w:lang w:eastAsia="ja-JP"/>
              </w:rPr>
              <w:t xml:space="preserve">Analysis of student work </w:t>
            </w:r>
          </w:p>
        </w:tc>
        <w:tc>
          <w:tcPr>
            <w:tcW w:w="1980" w:type="dxa"/>
          </w:tcPr>
          <w:p w:rsidR="0086105D" w:rsidRPr="00770294" w:rsidRDefault="0086105D" w:rsidP="00770294">
            <w:pPr>
              <w:spacing w:before="120" w:after="120" w:line="240" w:lineRule="auto"/>
              <w:jc w:val="center"/>
              <w:rPr>
                <w:lang w:eastAsia="ja-JP"/>
              </w:rPr>
            </w:pPr>
            <w:r w:rsidRPr="00770294">
              <w:rPr>
                <w:lang w:eastAsia="ja-JP"/>
              </w:rPr>
              <w:t>2</w:t>
            </w:r>
          </w:p>
        </w:tc>
      </w:tr>
      <w:tr w:rsidR="0086105D" w:rsidRPr="008B2DC7" w:rsidTr="008B2DC7">
        <w:tc>
          <w:tcPr>
            <w:tcW w:w="6660" w:type="dxa"/>
          </w:tcPr>
          <w:p w:rsidR="0086105D" w:rsidRPr="00770294" w:rsidRDefault="0086105D" w:rsidP="00770294">
            <w:pPr>
              <w:spacing w:before="120" w:after="120" w:line="240" w:lineRule="auto"/>
              <w:rPr>
                <w:lang w:eastAsia="ja-JP"/>
              </w:rPr>
            </w:pPr>
            <w:r w:rsidRPr="00770294">
              <w:rPr>
                <w:lang w:eastAsia="ja-JP"/>
              </w:rPr>
              <w:t>Discussion of different task formulations</w:t>
            </w:r>
          </w:p>
        </w:tc>
        <w:tc>
          <w:tcPr>
            <w:tcW w:w="1980" w:type="dxa"/>
          </w:tcPr>
          <w:p w:rsidR="0086105D" w:rsidRPr="00770294" w:rsidRDefault="0086105D" w:rsidP="00770294">
            <w:pPr>
              <w:spacing w:before="120" w:after="120" w:line="240" w:lineRule="auto"/>
              <w:jc w:val="center"/>
              <w:rPr>
                <w:lang w:eastAsia="ja-JP"/>
              </w:rPr>
            </w:pPr>
            <w:r w:rsidRPr="00770294">
              <w:rPr>
                <w:lang w:eastAsia="ja-JP"/>
              </w:rPr>
              <w:t>28</w:t>
            </w:r>
          </w:p>
        </w:tc>
      </w:tr>
      <w:tr w:rsidR="0086105D" w:rsidRPr="008B2DC7" w:rsidTr="008B2DC7">
        <w:tc>
          <w:tcPr>
            <w:tcW w:w="6660" w:type="dxa"/>
          </w:tcPr>
          <w:p w:rsidR="0086105D" w:rsidRPr="00770294" w:rsidRDefault="0086105D" w:rsidP="00770294">
            <w:pPr>
              <w:spacing w:before="120" w:after="120" w:line="240" w:lineRule="auto"/>
              <w:rPr>
                <w:lang w:eastAsia="ja-JP"/>
              </w:rPr>
            </w:pPr>
            <w:r w:rsidRPr="00770294">
              <w:rPr>
                <w:lang w:eastAsia="ja-JP"/>
              </w:rPr>
              <w:t>Other</w:t>
            </w:r>
          </w:p>
        </w:tc>
        <w:tc>
          <w:tcPr>
            <w:tcW w:w="1980" w:type="dxa"/>
          </w:tcPr>
          <w:p w:rsidR="0086105D" w:rsidRPr="00770294" w:rsidRDefault="0086105D" w:rsidP="00770294">
            <w:pPr>
              <w:spacing w:before="120" w:after="120" w:line="240" w:lineRule="auto"/>
              <w:jc w:val="center"/>
              <w:rPr>
                <w:lang w:eastAsia="ja-JP"/>
              </w:rPr>
            </w:pPr>
            <w:r w:rsidRPr="00770294">
              <w:rPr>
                <w:lang w:eastAsia="ja-JP"/>
              </w:rPr>
              <w:t>10</w:t>
            </w:r>
          </w:p>
        </w:tc>
      </w:tr>
    </w:tbl>
    <w:p w:rsidR="0086105D" w:rsidRDefault="0086105D" w:rsidP="0086105D"/>
    <w:p w:rsidR="00F87C4D" w:rsidRPr="00EF34E0" w:rsidRDefault="00F87C4D" w:rsidP="0086105D"/>
    <w:p w:rsidR="006849F8" w:rsidRPr="006F30A1" w:rsidRDefault="006849F8" w:rsidP="00FB0CB7">
      <w:pPr>
        <w:jc w:val="center"/>
        <w:rPr>
          <w:b/>
          <w:sz w:val="26"/>
          <w:szCs w:val="26"/>
        </w:rPr>
      </w:pPr>
      <w:r w:rsidRPr="008204CA">
        <w:rPr>
          <w:b/>
          <w:sz w:val="26"/>
          <w:szCs w:val="26"/>
        </w:rPr>
        <w:br w:type="page"/>
      </w:r>
      <w:r w:rsidR="00B00352" w:rsidRPr="006F30A1">
        <w:rPr>
          <w:b/>
          <w:sz w:val="26"/>
          <w:szCs w:val="26"/>
        </w:rPr>
        <w:lastRenderedPageBreak/>
        <w:t>SECOND TASK SEQUENCE</w:t>
      </w:r>
    </w:p>
    <w:p w:rsidR="00B00352" w:rsidRPr="00720F59" w:rsidRDefault="00B00352" w:rsidP="00B00352">
      <w:pPr>
        <w:rPr>
          <w:b/>
        </w:rPr>
      </w:pPr>
      <w:r w:rsidRPr="00720F59">
        <w:t xml:space="preserve">This task sequence was constructed </w:t>
      </w:r>
      <w:r w:rsidR="00A53617">
        <w:t xml:space="preserve">and implemented by Watson </w:t>
      </w:r>
      <w:r w:rsidRPr="00720F59">
        <w:t xml:space="preserve">to give </w:t>
      </w:r>
      <w:r w:rsidR="00A53617">
        <w:t>teachers</w:t>
      </w:r>
      <w:r w:rsidR="00F87C4D">
        <w:t xml:space="preserve"> </w:t>
      </w:r>
      <w:r w:rsidR="005D00FF">
        <w:t xml:space="preserve">(including prospective teachers) </w:t>
      </w:r>
      <w:r w:rsidRPr="00720F59">
        <w:t xml:space="preserve">experience of how particular forms of questioning can direct shifts of focus and levels of abstraction.  Throughout mathematics, learning new ideas usually involves looking at existing knowledge in new ways, in particular what can be seen as a procedure at first might have to be understood as an abstract concept later on. In </w:t>
      </w:r>
      <w:r w:rsidR="00432869">
        <w:t>a</w:t>
      </w:r>
      <w:r w:rsidRPr="00720F59">
        <w:t xml:space="preserve"> </w:t>
      </w:r>
      <w:proofErr w:type="spellStart"/>
      <w:r w:rsidRPr="00720F59">
        <w:t>Vygotskian</w:t>
      </w:r>
      <w:proofErr w:type="spellEnd"/>
      <w:r w:rsidRPr="00720F59">
        <w:t xml:space="preserve"> view, without scaffolding most students might not make the ascent to a new level of thinking that takes what at first appears abstract but later becomes a concrete example for a new concept.  For example, children first calculate products by multiplying; then the product itself becomes an example of a composite number, which can be </w:t>
      </w:r>
      <w:proofErr w:type="spellStart"/>
      <w:r w:rsidRPr="00720F59">
        <w:t>factorised</w:t>
      </w:r>
      <w:proofErr w:type="spellEnd"/>
      <w:r w:rsidRPr="00720F59">
        <w:t xml:space="preserve">; then the </w:t>
      </w:r>
      <w:proofErr w:type="spellStart"/>
      <w:r w:rsidRPr="00720F59">
        <w:t>factorisation</w:t>
      </w:r>
      <w:proofErr w:type="spellEnd"/>
      <w:r w:rsidRPr="00720F59">
        <w:t xml:space="preserve"> becomes an example of a number structure; and so on. Teaching must help learners shift their perspective but new teachers often suppose this happens naturally as an outcome of completing tasks, or by being told new definitions, or by being given sophisticated methods. The aim of this session was to provide a sequence in which </w:t>
      </w:r>
      <w:r w:rsidR="00DC004C" w:rsidRPr="00720F59">
        <w:t xml:space="preserve">prospective teachers </w:t>
      </w:r>
      <w:r w:rsidRPr="00720F59">
        <w:t xml:space="preserve">could experience and discuss how shifts of focus </w:t>
      </w:r>
      <w:r w:rsidR="00A53617">
        <w:t>can be</w:t>
      </w:r>
      <w:r w:rsidRPr="00720F59">
        <w:t xml:space="preserve"> engineered.</w:t>
      </w:r>
    </w:p>
    <w:p w:rsidR="00B00352" w:rsidRDefault="00EA3A7F" w:rsidP="00B00352">
      <w:pPr>
        <w:rPr>
          <w:rFonts w:cs="Arial"/>
          <w:lang w:val="en-GB"/>
        </w:rPr>
      </w:pPr>
      <w:r w:rsidRPr="00720F59">
        <w:rPr>
          <w:rFonts w:cs="Arial"/>
          <w:lang w:val="en-GB"/>
        </w:rPr>
        <w:t xml:space="preserve">There were nine elements to the </w:t>
      </w:r>
      <w:r w:rsidR="00B00352" w:rsidRPr="00720F59">
        <w:rPr>
          <w:rFonts w:cs="Arial"/>
          <w:lang w:val="en-GB"/>
        </w:rPr>
        <w:t>task sequence</w:t>
      </w:r>
      <w:r w:rsidRPr="00720F59">
        <w:rPr>
          <w:rFonts w:cs="Arial"/>
          <w:lang w:val="en-GB"/>
        </w:rPr>
        <w:t xml:space="preserve"> and each had multiple purposes relating to </w:t>
      </w:r>
      <w:r w:rsidR="00B00352" w:rsidRPr="00720F59">
        <w:rPr>
          <w:rFonts w:cs="Arial"/>
          <w:lang w:val="en-GB"/>
        </w:rPr>
        <w:t xml:space="preserve">generic pedagogy, subject specific didactics, and </w:t>
      </w:r>
      <w:r w:rsidR="00A53617">
        <w:rPr>
          <w:rFonts w:cs="Arial"/>
          <w:lang w:val="en-GB"/>
        </w:rPr>
        <w:t xml:space="preserve">to specific </w:t>
      </w:r>
      <w:r w:rsidR="00B00352" w:rsidRPr="00720F59">
        <w:rPr>
          <w:rFonts w:cs="Arial"/>
          <w:lang w:val="en-GB"/>
        </w:rPr>
        <w:t xml:space="preserve">mathematical ideas </w:t>
      </w:r>
      <w:r w:rsidR="00A53617">
        <w:rPr>
          <w:rFonts w:cs="Arial"/>
          <w:lang w:val="en-GB"/>
        </w:rPr>
        <w:t xml:space="preserve">that </w:t>
      </w:r>
      <w:r w:rsidR="00DC004C" w:rsidRPr="00720F59">
        <w:rPr>
          <w:rFonts w:cs="Arial"/>
          <w:lang w:val="en-GB"/>
        </w:rPr>
        <w:t>Watson</w:t>
      </w:r>
      <w:r w:rsidR="00B00352" w:rsidRPr="00720F59">
        <w:rPr>
          <w:rFonts w:cs="Arial"/>
          <w:lang w:val="en-GB"/>
        </w:rPr>
        <w:t xml:space="preserve"> hoped</w:t>
      </w:r>
      <w:r w:rsidR="00977C0A">
        <w:rPr>
          <w:rFonts w:cs="Arial"/>
          <w:lang w:val="en-GB"/>
        </w:rPr>
        <w:t xml:space="preserve"> the</w:t>
      </w:r>
      <w:r w:rsidR="00B00352" w:rsidRPr="00720F59">
        <w:rPr>
          <w:rFonts w:cs="Arial"/>
          <w:lang w:val="en-GB"/>
        </w:rPr>
        <w:t xml:space="preserve"> </w:t>
      </w:r>
      <w:r w:rsidR="00A53617">
        <w:rPr>
          <w:rFonts w:cs="Arial"/>
          <w:lang w:val="en-GB"/>
        </w:rPr>
        <w:t>prospective teachers</w:t>
      </w:r>
      <w:r w:rsidR="00B00352" w:rsidRPr="00720F59">
        <w:rPr>
          <w:rFonts w:cs="Arial"/>
          <w:lang w:val="en-GB"/>
        </w:rPr>
        <w:t xml:space="preserve"> would encounter.</w:t>
      </w:r>
      <w:r w:rsidRPr="00720F59">
        <w:rPr>
          <w:rFonts w:cs="Arial"/>
          <w:lang w:val="en-GB"/>
        </w:rPr>
        <w:t xml:space="preserve"> The aim was to provide situations in which, at any moment, some might be focusing on mathematics, some on pedagogy and some on didactics.  </w:t>
      </w:r>
      <w:r w:rsidR="00F87C4D">
        <w:rPr>
          <w:rFonts w:cs="Arial"/>
          <w:lang w:val="en-GB"/>
        </w:rPr>
        <w:t xml:space="preserve"> However, the main purpose of this sequence is to understand</w:t>
      </w:r>
      <w:r w:rsidR="00977C0A">
        <w:rPr>
          <w:rFonts w:cs="Arial"/>
          <w:lang w:val="en-GB"/>
        </w:rPr>
        <w:t>,</w:t>
      </w:r>
      <w:r w:rsidR="00F87C4D">
        <w:rPr>
          <w:rFonts w:cs="Arial"/>
          <w:lang w:val="en-GB"/>
        </w:rPr>
        <w:t xml:space="preserve"> </w:t>
      </w:r>
      <w:r w:rsidR="00977C0A">
        <w:rPr>
          <w:rFonts w:cs="Arial"/>
          <w:lang w:val="en-GB"/>
        </w:rPr>
        <w:t>through personal mathematical experience, how variation of task components and questions can shape different mathematical actions</w:t>
      </w:r>
      <w:r w:rsidR="00F87C4D">
        <w:rPr>
          <w:rFonts w:cs="Arial"/>
          <w:lang w:val="en-GB"/>
        </w:rPr>
        <w:t xml:space="preserve">. </w:t>
      </w:r>
      <w:r w:rsidRPr="00720F59">
        <w:rPr>
          <w:rFonts w:cs="Arial"/>
          <w:lang w:val="en-GB"/>
        </w:rPr>
        <w:t xml:space="preserve">For this reason, mathematical flow between tasks </w:t>
      </w:r>
      <w:r w:rsidR="00A53617">
        <w:rPr>
          <w:rFonts w:cs="Arial"/>
          <w:lang w:val="en-GB"/>
        </w:rPr>
        <w:t>was</w:t>
      </w:r>
      <w:r w:rsidRPr="00720F59">
        <w:rPr>
          <w:rFonts w:cs="Arial"/>
          <w:lang w:val="en-GB"/>
        </w:rPr>
        <w:t xml:space="preserve"> at times interrupted for attention to be directed at the didactics</w:t>
      </w:r>
      <w:r w:rsidR="00977C0A">
        <w:rPr>
          <w:rFonts w:cs="Arial"/>
          <w:lang w:val="en-GB"/>
        </w:rPr>
        <w:t>.</w:t>
      </w:r>
      <w:r w:rsidRPr="00720F59">
        <w:rPr>
          <w:rFonts w:cs="Arial"/>
          <w:lang w:val="en-GB"/>
        </w:rPr>
        <w:t xml:space="preserve"> The session was not divided clearly into nine elements, but for easier reading that is how we present it.</w:t>
      </w:r>
      <w:r w:rsidR="00F87C4D">
        <w:rPr>
          <w:rFonts w:cs="Arial"/>
          <w:lang w:val="en-GB"/>
        </w:rPr>
        <w:t xml:space="preserve"> </w:t>
      </w:r>
      <w:r w:rsidR="0068017A">
        <w:rPr>
          <w:rFonts w:cs="Arial"/>
          <w:lang w:val="en-GB"/>
        </w:rPr>
        <w:t>In each section the ‘general pedagogic purpose’ can give access to the ideas for the general reader, and it should also be possible to discern progression in the ‘specific didactic purpose’.</w:t>
      </w:r>
    </w:p>
    <w:p w:rsidR="003C41C1" w:rsidRPr="00F87C4D" w:rsidRDefault="00F87C4D" w:rsidP="00710C36">
      <w:pPr>
        <w:rPr>
          <w:b/>
        </w:rPr>
      </w:pPr>
      <w:r>
        <w:rPr>
          <w:rFonts w:cs="Arial"/>
          <w:lang w:val="en-GB"/>
        </w:rPr>
        <w:t xml:space="preserve">The </w:t>
      </w:r>
      <w:r w:rsidR="000B02ED">
        <w:rPr>
          <w:rFonts w:cs="Arial"/>
          <w:lang w:val="en-GB"/>
        </w:rPr>
        <w:t xml:space="preserve">second </w:t>
      </w:r>
      <w:r>
        <w:rPr>
          <w:rFonts w:cs="Arial"/>
          <w:lang w:val="en-GB"/>
        </w:rPr>
        <w:t>task</w:t>
      </w:r>
      <w:r w:rsidR="00AA7D1B">
        <w:rPr>
          <w:rFonts w:cs="Arial"/>
          <w:lang w:val="en-GB"/>
        </w:rPr>
        <w:t xml:space="preserve"> sequence</w:t>
      </w:r>
      <w:r w:rsidR="000B02ED">
        <w:rPr>
          <w:rFonts w:cs="Arial"/>
          <w:lang w:val="en-GB"/>
        </w:rPr>
        <w:t>, contrary to the first,</w:t>
      </w:r>
      <w:r>
        <w:rPr>
          <w:rFonts w:cs="Arial"/>
          <w:lang w:val="en-GB"/>
        </w:rPr>
        <w:t xml:space="preserve"> </w:t>
      </w:r>
      <w:r w:rsidR="00AA7D1B">
        <w:rPr>
          <w:rFonts w:cs="Arial"/>
          <w:lang w:val="en-GB"/>
        </w:rPr>
        <w:t>is not directly related to curriculum content, and is usually novel for teachers. They start by selecting a shape</w:t>
      </w:r>
      <w:r w:rsidR="00AA7D1B" w:rsidRPr="00AA7D1B">
        <w:rPr>
          <w:rFonts w:cs="Arial"/>
          <w:lang w:val="en-GB"/>
        </w:rPr>
        <w:t xml:space="preserve"> </w:t>
      </w:r>
      <w:r w:rsidR="00AA7D1B" w:rsidRPr="00720F59">
        <w:rPr>
          <w:rFonts w:cs="Arial"/>
          <w:lang w:val="en-GB"/>
        </w:rPr>
        <w:t>made by connecting four congruent squares</w:t>
      </w:r>
      <w:r w:rsidR="00AA7D1B">
        <w:rPr>
          <w:rFonts w:cs="Arial"/>
          <w:lang w:val="en-GB"/>
        </w:rPr>
        <w:t xml:space="preserve"> (</w:t>
      </w:r>
      <w:proofErr w:type="spellStart"/>
      <w:r w:rsidR="00AA7D1B">
        <w:rPr>
          <w:rFonts w:cs="Arial"/>
          <w:lang w:val="en-GB"/>
        </w:rPr>
        <w:t>tetramino</w:t>
      </w:r>
      <w:proofErr w:type="spellEnd"/>
      <w:r w:rsidR="00AA7D1B">
        <w:rPr>
          <w:rFonts w:cs="Arial"/>
          <w:lang w:val="en-GB"/>
        </w:rPr>
        <w:t xml:space="preserve">). They use this shape to identify and generalise relationships between four neighbouring cells on various number grids. </w:t>
      </w:r>
      <w:r w:rsidR="001D5C84">
        <w:rPr>
          <w:rFonts w:cs="Arial"/>
          <w:lang w:val="en-GB"/>
        </w:rPr>
        <w:t>G</w:t>
      </w:r>
      <w:r w:rsidR="00AA7D1B">
        <w:rPr>
          <w:rFonts w:cs="Arial"/>
          <w:lang w:val="en-GB"/>
        </w:rPr>
        <w:t>eneralisation becomes h</w:t>
      </w:r>
      <w:r w:rsidR="001D5C84">
        <w:rPr>
          <w:rFonts w:cs="Arial"/>
          <w:lang w:val="en-GB"/>
        </w:rPr>
        <w:t>arder with more variables</w:t>
      </w:r>
      <w:r w:rsidR="00AA7D1B">
        <w:rPr>
          <w:rFonts w:cs="Arial"/>
          <w:lang w:val="en-GB"/>
        </w:rPr>
        <w:t xml:space="preserve"> as more variations of the task are introduced. The forms of questioning also change in deliberate ways to encourage abstraction to take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tblPr>
      <w:tblGrid>
        <w:gridCol w:w="381"/>
        <w:gridCol w:w="2693"/>
        <w:gridCol w:w="5782"/>
      </w:tblGrid>
      <w:tr w:rsidR="00710C36" w:rsidTr="00710C36">
        <w:tc>
          <w:tcPr>
            <w:tcW w:w="8856" w:type="dxa"/>
            <w:gridSpan w:val="3"/>
          </w:tcPr>
          <w:p w:rsidR="00710C36" w:rsidRPr="00720F59" w:rsidRDefault="00710C36" w:rsidP="008E3DED">
            <w:pPr>
              <w:spacing w:after="0" w:line="240" w:lineRule="auto"/>
              <w:rPr>
                <w:rFonts w:cs="Arial"/>
                <w:lang w:val="en-GB"/>
              </w:rPr>
            </w:pPr>
            <w:r w:rsidRPr="000B02ED">
              <w:rPr>
                <w:b/>
              </w:rPr>
              <w:t>Initial mathematical work</w:t>
            </w:r>
          </w:p>
        </w:tc>
      </w:tr>
      <w:tr w:rsidR="00C31962" w:rsidTr="001714E4">
        <w:tc>
          <w:tcPr>
            <w:tcW w:w="381" w:type="dxa"/>
          </w:tcPr>
          <w:p w:rsidR="00C31962" w:rsidRDefault="00C31962" w:rsidP="008E3DED">
            <w:pPr>
              <w:spacing w:after="0" w:line="240" w:lineRule="auto"/>
              <w:rPr>
                <w:rFonts w:cs="Arial"/>
                <w:lang w:val="en-GB"/>
              </w:rPr>
            </w:pPr>
            <w:r>
              <w:rPr>
                <w:rFonts w:cs="Arial"/>
                <w:lang w:val="en-GB"/>
              </w:rPr>
              <w:t>1</w:t>
            </w:r>
          </w:p>
        </w:tc>
        <w:tc>
          <w:tcPr>
            <w:tcW w:w="2693" w:type="dxa"/>
          </w:tcPr>
          <w:p w:rsidR="00C31962" w:rsidRPr="00720F59" w:rsidRDefault="00C31962" w:rsidP="008E3DED">
            <w:pPr>
              <w:spacing w:after="0" w:line="240" w:lineRule="auto"/>
              <w:ind w:left="720" w:hanging="720"/>
              <w:rPr>
                <w:rFonts w:cs="Arial"/>
                <w:b/>
                <w:lang w:val="en-GB"/>
              </w:rPr>
            </w:pPr>
            <w:r w:rsidRPr="00720F59">
              <w:rPr>
                <w:rFonts w:cs="Arial"/>
                <w:i/>
                <w:lang w:val="en-GB"/>
              </w:rPr>
              <w:t>General pedagogic purpose</w:t>
            </w:r>
          </w:p>
          <w:p w:rsidR="00C31962" w:rsidRDefault="00C31962" w:rsidP="00F96338">
            <w:pPr>
              <w:tabs>
                <w:tab w:val="left" w:pos="308"/>
                <w:tab w:val="left" w:pos="2051"/>
                <w:tab w:val="left" w:pos="3904"/>
                <w:tab w:val="left" w:pos="6072"/>
                <w:tab w:val="left" w:pos="8074"/>
              </w:tabs>
              <w:spacing w:after="0" w:line="240" w:lineRule="auto"/>
              <w:ind w:left="720" w:hanging="720"/>
              <w:rPr>
                <w:rFonts w:cs="Arial"/>
                <w:lang w:val="en-GB"/>
              </w:rPr>
            </w:pPr>
            <w:r w:rsidRPr="00720F59">
              <w:rPr>
                <w:rFonts w:cs="Arial"/>
                <w:b/>
                <w:lang w:val="en-GB"/>
              </w:rPr>
              <w:tab/>
              <w:t xml:space="preserve">      </w:t>
            </w:r>
          </w:p>
        </w:tc>
        <w:tc>
          <w:tcPr>
            <w:tcW w:w="5782" w:type="dxa"/>
          </w:tcPr>
          <w:p w:rsidR="00C31962" w:rsidRDefault="00C31962" w:rsidP="008E3DED">
            <w:pPr>
              <w:spacing w:after="0" w:line="240" w:lineRule="auto"/>
              <w:rPr>
                <w:rFonts w:cs="Arial"/>
                <w:lang w:val="en-GB"/>
              </w:rPr>
            </w:pPr>
            <w:r w:rsidRPr="00720F59">
              <w:rPr>
                <w:rFonts w:cs="Arial"/>
                <w:lang w:val="en-GB"/>
              </w:rPr>
              <w:t>Importance of personal choice; how group work can shorten time to generate materials/objects/data.</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C31962" w:rsidP="008E3DED">
            <w:pPr>
              <w:spacing w:after="0" w:line="240" w:lineRule="auto"/>
              <w:rPr>
                <w:rFonts w:cs="Arial"/>
                <w:lang w:val="en-GB"/>
              </w:rPr>
            </w:pPr>
            <w:r w:rsidRPr="00720F59">
              <w:rPr>
                <w:rFonts w:cs="Arial"/>
                <w:i/>
                <w:lang w:val="en-GB"/>
              </w:rPr>
              <w:t>Mathematical content</w:t>
            </w:r>
          </w:p>
        </w:tc>
        <w:tc>
          <w:tcPr>
            <w:tcW w:w="5782" w:type="dxa"/>
          </w:tcPr>
          <w:p w:rsidR="00C31962" w:rsidRDefault="008E3DED" w:rsidP="008E3DED">
            <w:pPr>
              <w:spacing w:after="0" w:line="240" w:lineRule="auto"/>
              <w:rPr>
                <w:rFonts w:cs="Arial"/>
                <w:lang w:val="en-GB"/>
              </w:rPr>
            </w:pPr>
            <w:r>
              <w:rPr>
                <w:rFonts w:cs="Arial"/>
                <w:lang w:val="en-GB"/>
              </w:rPr>
              <w:t>C</w:t>
            </w:r>
            <w:r w:rsidR="00C31962" w:rsidRPr="00720F59">
              <w:rPr>
                <w:rFonts w:cs="Arial"/>
                <w:lang w:val="en-GB"/>
              </w:rPr>
              <w:t>ongruenc</w:t>
            </w:r>
            <w:r w:rsidR="00C31962">
              <w:rPr>
                <w:rFonts w:cs="Arial"/>
                <w:lang w:val="en-GB"/>
              </w:rPr>
              <w:t>e</w:t>
            </w:r>
            <w:r w:rsidR="00C31962" w:rsidRPr="00720F59">
              <w:rPr>
                <w:rFonts w:cs="Arial"/>
                <w:lang w:val="en-GB"/>
              </w:rPr>
              <w:t>; reflections; reasoning about completeness</w:t>
            </w:r>
            <w:r w:rsidR="00C31962">
              <w:rPr>
                <w:rFonts w:cs="Arial"/>
                <w:lang w:val="en-GB"/>
              </w:rPr>
              <w:t>.</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Pr="00F96338" w:rsidRDefault="00C31962" w:rsidP="00F96338">
            <w:pPr>
              <w:spacing w:after="0" w:line="240" w:lineRule="auto"/>
              <w:ind w:left="720" w:hanging="720"/>
              <w:rPr>
                <w:rFonts w:cs="Arial"/>
                <w:b/>
                <w:lang w:val="en-GB"/>
              </w:rPr>
            </w:pPr>
            <w:r>
              <w:rPr>
                <w:rFonts w:cs="Arial"/>
                <w:i/>
                <w:lang w:val="en-GB"/>
              </w:rPr>
              <w:t xml:space="preserve">Teacher educator </w:t>
            </w:r>
            <w:r w:rsidRPr="00720F59">
              <w:rPr>
                <w:rFonts w:cs="Arial"/>
                <w:i/>
                <w:lang w:val="en-GB"/>
              </w:rPr>
              <w:t>action</w:t>
            </w:r>
          </w:p>
        </w:tc>
        <w:tc>
          <w:tcPr>
            <w:tcW w:w="5782" w:type="dxa"/>
          </w:tcPr>
          <w:p w:rsidR="00C31962" w:rsidRDefault="00C31962" w:rsidP="008E3DED">
            <w:pPr>
              <w:spacing w:after="0" w:line="240" w:lineRule="auto"/>
              <w:rPr>
                <w:rFonts w:cs="Arial"/>
                <w:lang w:val="en-GB"/>
              </w:rPr>
            </w:pPr>
            <w:r w:rsidRPr="00720F59">
              <w:rPr>
                <w:rFonts w:cs="Arial"/>
                <w:lang w:val="en-GB"/>
              </w:rPr>
              <w:t xml:space="preserve">Introduce </w:t>
            </w:r>
            <w:proofErr w:type="spellStart"/>
            <w:r w:rsidRPr="00720F59">
              <w:rPr>
                <w:rFonts w:cs="Arial"/>
                <w:lang w:val="en-GB"/>
              </w:rPr>
              <w:t>tetraminoes</w:t>
            </w:r>
            <w:proofErr w:type="spellEnd"/>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F96338" w:rsidP="008E3DED">
            <w:pPr>
              <w:spacing w:after="0" w:line="240" w:lineRule="auto"/>
              <w:rPr>
                <w:rFonts w:cs="Arial"/>
                <w:lang w:val="en-GB"/>
              </w:rPr>
            </w:pPr>
            <w:r>
              <w:rPr>
                <w:rFonts w:cs="Arial"/>
                <w:i/>
                <w:lang w:val="en-GB"/>
              </w:rPr>
              <w:t>Teacher</w:t>
            </w:r>
            <w:r w:rsidR="00C31962" w:rsidRPr="00720F59">
              <w:rPr>
                <w:rFonts w:cs="Arial"/>
                <w:i/>
                <w:lang w:val="en-GB"/>
              </w:rPr>
              <w:t xml:space="preserve"> activity</w:t>
            </w:r>
          </w:p>
        </w:tc>
        <w:tc>
          <w:tcPr>
            <w:tcW w:w="5782" w:type="dxa"/>
          </w:tcPr>
          <w:p w:rsidR="00C31962" w:rsidRDefault="00C31962" w:rsidP="008E3DED">
            <w:pPr>
              <w:spacing w:after="0" w:line="240" w:lineRule="auto"/>
              <w:rPr>
                <w:rFonts w:cs="Arial"/>
                <w:lang w:val="en-GB"/>
              </w:rPr>
            </w:pPr>
            <w:r w:rsidRPr="00720F59">
              <w:rPr>
                <w:rFonts w:cs="Arial"/>
                <w:lang w:val="en-GB"/>
              </w:rPr>
              <w:t>With others</w:t>
            </w:r>
            <w:r w:rsidR="00927592">
              <w:rPr>
                <w:rFonts w:cs="Arial"/>
                <w:lang w:val="en-GB"/>
              </w:rPr>
              <w:t>,</w:t>
            </w:r>
            <w:r w:rsidRPr="00720F59">
              <w:rPr>
                <w:rFonts w:cs="Arial"/>
                <w:lang w:val="en-GB"/>
              </w:rPr>
              <w:t xml:space="preserve"> construct all possible </w:t>
            </w:r>
            <w:proofErr w:type="spellStart"/>
            <w:r w:rsidRPr="00720F59">
              <w:rPr>
                <w:rFonts w:cs="Arial"/>
                <w:lang w:val="en-GB"/>
              </w:rPr>
              <w:t>tetraminoes</w:t>
            </w:r>
            <w:proofErr w:type="spellEnd"/>
            <w:r w:rsidRPr="00720F59">
              <w:rPr>
                <w:rFonts w:cs="Arial"/>
                <w:lang w:val="en-GB"/>
              </w:rPr>
              <w:t xml:space="preserve">; choose a shape and its orientation to </w:t>
            </w:r>
            <w:r>
              <w:rPr>
                <w:rFonts w:cs="Arial"/>
                <w:lang w:val="en-GB"/>
              </w:rPr>
              <w:t xml:space="preserve">make and </w:t>
            </w:r>
            <w:r w:rsidRPr="00720F59">
              <w:rPr>
                <w:rFonts w:cs="Arial"/>
                <w:lang w:val="en-GB"/>
              </w:rPr>
              <w:t>use for the rest of the session.</w:t>
            </w:r>
          </w:p>
        </w:tc>
      </w:tr>
      <w:tr w:rsidR="00C31962" w:rsidTr="001714E4">
        <w:tc>
          <w:tcPr>
            <w:tcW w:w="381" w:type="dxa"/>
          </w:tcPr>
          <w:p w:rsidR="00C31962" w:rsidRDefault="00C31962" w:rsidP="008E3DED">
            <w:pPr>
              <w:spacing w:after="0" w:line="240" w:lineRule="auto"/>
              <w:rPr>
                <w:rFonts w:cs="Arial"/>
                <w:lang w:val="en-GB"/>
              </w:rPr>
            </w:pPr>
            <w:r w:rsidRPr="00720F59">
              <w:rPr>
                <w:rFonts w:cs="Arial"/>
                <w:lang w:val="en-GB"/>
              </w:rPr>
              <w:lastRenderedPageBreak/>
              <w:t>2</w:t>
            </w:r>
          </w:p>
        </w:tc>
        <w:tc>
          <w:tcPr>
            <w:tcW w:w="2693" w:type="dxa"/>
          </w:tcPr>
          <w:p w:rsidR="00C31962" w:rsidRPr="00F96338" w:rsidRDefault="00C31962" w:rsidP="00F96338">
            <w:pPr>
              <w:spacing w:after="0" w:line="240" w:lineRule="auto"/>
              <w:rPr>
                <w:rFonts w:cs="Arial"/>
                <w:b/>
                <w:lang w:val="en-GB"/>
              </w:rPr>
            </w:pPr>
            <w:r w:rsidRPr="00720F59">
              <w:rPr>
                <w:rFonts w:cs="Arial"/>
                <w:i/>
                <w:lang w:val="en-GB"/>
              </w:rPr>
              <w:t>General pedagogic purpose</w:t>
            </w:r>
          </w:p>
        </w:tc>
        <w:tc>
          <w:tcPr>
            <w:tcW w:w="5782" w:type="dxa"/>
          </w:tcPr>
          <w:p w:rsidR="00C31962" w:rsidRDefault="00C31962" w:rsidP="008E3DED">
            <w:pPr>
              <w:spacing w:after="0" w:line="240" w:lineRule="auto"/>
              <w:rPr>
                <w:rFonts w:cs="Arial"/>
                <w:lang w:val="en-GB"/>
              </w:rPr>
            </w:pPr>
            <w:r w:rsidRPr="00720F59">
              <w:rPr>
                <w:rFonts w:cs="Arial"/>
                <w:lang w:val="en-GB"/>
              </w:rPr>
              <w:t>Share ideas about the relations</w:t>
            </w:r>
            <w:r w:rsidR="006A3282">
              <w:rPr>
                <w:rFonts w:cs="Arial"/>
                <w:lang w:val="en-GB"/>
              </w:rPr>
              <w:t>hips</w:t>
            </w:r>
            <w:r>
              <w:rPr>
                <w:rFonts w:cs="Arial"/>
                <w:lang w:val="en-GB"/>
              </w:rPr>
              <w:t>.</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Pr="00F96338" w:rsidRDefault="00C31962" w:rsidP="00F96338">
            <w:pPr>
              <w:tabs>
                <w:tab w:val="left" w:pos="308"/>
                <w:tab w:val="left" w:pos="2051"/>
                <w:tab w:val="left" w:pos="3904"/>
                <w:tab w:val="left" w:pos="6072"/>
                <w:tab w:val="left" w:pos="8074"/>
              </w:tabs>
              <w:spacing w:after="0" w:line="240" w:lineRule="auto"/>
              <w:ind w:left="720" w:hanging="720"/>
              <w:rPr>
                <w:rFonts w:cs="Arial"/>
                <w:b/>
                <w:lang w:val="en-GB"/>
              </w:rPr>
            </w:pPr>
            <w:r w:rsidRPr="00720F59">
              <w:rPr>
                <w:rFonts w:eastAsia="PMingLiU" w:cs="Arial"/>
                <w:i/>
                <w:lang w:val="en-GB" w:eastAsia="es-ES" w:bidi="ar-SA"/>
              </w:rPr>
              <w:t>Subject didactics purpose</w:t>
            </w:r>
            <w:r w:rsidRPr="00720F59">
              <w:rPr>
                <w:rFonts w:eastAsia="PMingLiU" w:cs="Arial"/>
                <w:lang w:val="en-GB" w:eastAsia="es-ES" w:bidi="ar-SA"/>
              </w:rPr>
              <w:t xml:space="preserve"> </w:t>
            </w:r>
          </w:p>
        </w:tc>
        <w:tc>
          <w:tcPr>
            <w:tcW w:w="5782" w:type="dxa"/>
          </w:tcPr>
          <w:p w:rsidR="00C31962" w:rsidRDefault="00C31962" w:rsidP="008E3DED">
            <w:pPr>
              <w:spacing w:after="0" w:line="240" w:lineRule="auto"/>
              <w:rPr>
                <w:rFonts w:cs="Arial"/>
                <w:lang w:val="en-GB"/>
              </w:rPr>
            </w:pPr>
            <w:r w:rsidRPr="00720F59">
              <w:rPr>
                <w:rFonts w:cs="Arial"/>
                <w:lang w:val="en-GB"/>
              </w:rPr>
              <w:t>Variety generated through choice</w:t>
            </w:r>
            <w:r>
              <w:rPr>
                <w:rFonts w:cs="Arial"/>
                <w:lang w:val="en-GB"/>
              </w:rPr>
              <w:t>.</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Pr="00720F59" w:rsidRDefault="00C31962" w:rsidP="008E3DED">
            <w:pPr>
              <w:tabs>
                <w:tab w:val="left" w:pos="308"/>
                <w:tab w:val="left" w:pos="2051"/>
                <w:tab w:val="left" w:pos="3904"/>
                <w:tab w:val="left" w:pos="6072"/>
                <w:tab w:val="left" w:pos="8074"/>
              </w:tabs>
              <w:spacing w:after="0" w:line="240" w:lineRule="auto"/>
              <w:ind w:left="720" w:hanging="720"/>
              <w:rPr>
                <w:rFonts w:cs="Arial"/>
                <w:lang w:val="en-GB"/>
              </w:rPr>
            </w:pPr>
            <w:r w:rsidRPr="00720F59">
              <w:rPr>
                <w:rFonts w:cs="Arial"/>
                <w:i/>
                <w:lang w:val="en-GB"/>
              </w:rPr>
              <w:t>Mathematical content</w:t>
            </w:r>
          </w:p>
          <w:p w:rsidR="00C31962" w:rsidRDefault="00C31962" w:rsidP="008E3DED">
            <w:pPr>
              <w:spacing w:after="0" w:line="240" w:lineRule="auto"/>
              <w:rPr>
                <w:rFonts w:cs="Arial"/>
                <w:lang w:val="en-GB"/>
              </w:rPr>
            </w:pPr>
          </w:p>
        </w:tc>
        <w:tc>
          <w:tcPr>
            <w:tcW w:w="5782" w:type="dxa"/>
          </w:tcPr>
          <w:p w:rsidR="00C31962" w:rsidRDefault="00C31962" w:rsidP="008E3DED">
            <w:pPr>
              <w:spacing w:after="0" w:line="240" w:lineRule="auto"/>
              <w:rPr>
                <w:rFonts w:cs="Arial"/>
                <w:lang w:val="en-GB"/>
              </w:rPr>
            </w:pPr>
            <w:r w:rsidRPr="00720F59">
              <w:rPr>
                <w:rFonts w:cs="Arial"/>
                <w:lang w:val="en-GB"/>
              </w:rPr>
              <w:t>General expressions on multiplication grids require two variables</w:t>
            </w:r>
            <w:r>
              <w:rPr>
                <w:rFonts w:cs="Arial"/>
                <w:lang w:val="en-GB"/>
              </w:rPr>
              <w:t>.</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Pr="00720F59" w:rsidRDefault="00C31962" w:rsidP="008E3DED">
            <w:pPr>
              <w:spacing w:after="0" w:line="240" w:lineRule="auto"/>
              <w:ind w:left="720" w:hanging="720"/>
              <w:rPr>
                <w:rFonts w:cs="Arial"/>
                <w:lang w:val="en-GB"/>
              </w:rPr>
            </w:pPr>
            <w:r>
              <w:rPr>
                <w:rFonts w:cs="Arial"/>
                <w:i/>
                <w:lang w:val="en-GB"/>
              </w:rPr>
              <w:t xml:space="preserve">Teacher educator </w:t>
            </w:r>
            <w:r w:rsidRPr="00720F59">
              <w:rPr>
                <w:rFonts w:cs="Arial"/>
                <w:i/>
                <w:lang w:val="en-GB"/>
              </w:rPr>
              <w:t>action</w:t>
            </w:r>
          </w:p>
          <w:p w:rsidR="00C31962" w:rsidRDefault="00C31962" w:rsidP="008E3DED">
            <w:pPr>
              <w:spacing w:after="0" w:line="240" w:lineRule="auto"/>
              <w:ind w:left="720" w:hanging="720"/>
              <w:rPr>
                <w:rFonts w:cs="Arial"/>
                <w:lang w:val="en-GB"/>
              </w:rPr>
            </w:pPr>
          </w:p>
        </w:tc>
        <w:tc>
          <w:tcPr>
            <w:tcW w:w="5782" w:type="dxa"/>
          </w:tcPr>
          <w:p w:rsidR="00C31962" w:rsidRDefault="00C31962" w:rsidP="008E3DED">
            <w:pPr>
              <w:spacing w:after="0" w:line="240" w:lineRule="auto"/>
              <w:rPr>
                <w:rFonts w:cs="Arial"/>
                <w:lang w:val="en-GB"/>
              </w:rPr>
            </w:pPr>
            <w:r w:rsidRPr="00720F59">
              <w:rPr>
                <w:rFonts w:cs="Arial"/>
                <w:lang w:val="en-GB"/>
              </w:rPr>
              <w:t xml:space="preserve">Give out multiplication </w:t>
            </w:r>
            <w:r>
              <w:rPr>
                <w:rFonts w:cs="Arial"/>
                <w:lang w:val="en-GB"/>
              </w:rPr>
              <w:t>grids</w:t>
            </w:r>
            <w:r w:rsidRPr="00720F59">
              <w:rPr>
                <w:rFonts w:cs="Arial"/>
                <w:lang w:val="en-GB"/>
              </w:rPr>
              <w:t xml:space="preserve"> up to 10x10; place the shape on</w:t>
            </w:r>
            <w:r>
              <w:rPr>
                <w:rFonts w:cs="Arial"/>
                <w:lang w:val="en-GB"/>
              </w:rPr>
              <w:t xml:space="preserve"> </w:t>
            </w:r>
            <w:r w:rsidRPr="00720F59">
              <w:rPr>
                <w:rFonts w:cs="Arial"/>
                <w:lang w:val="en-GB"/>
              </w:rPr>
              <w:t>the grid to ‘cover’ four cells.</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F96338" w:rsidP="008E3DED">
            <w:pPr>
              <w:spacing w:after="0" w:line="240" w:lineRule="auto"/>
              <w:ind w:left="720" w:hanging="720"/>
              <w:rPr>
                <w:rFonts w:cs="Arial"/>
                <w:lang w:val="en-GB"/>
              </w:rPr>
            </w:pPr>
            <w:r>
              <w:rPr>
                <w:rFonts w:cs="Arial"/>
                <w:i/>
                <w:lang w:val="en-GB"/>
              </w:rPr>
              <w:t>Teacher</w:t>
            </w:r>
            <w:r w:rsidR="00C31962" w:rsidRPr="00720F59">
              <w:rPr>
                <w:rFonts w:cs="Arial"/>
                <w:i/>
                <w:lang w:val="en-GB"/>
              </w:rPr>
              <w:t xml:space="preserve"> activity</w:t>
            </w:r>
          </w:p>
        </w:tc>
        <w:tc>
          <w:tcPr>
            <w:tcW w:w="5782" w:type="dxa"/>
          </w:tcPr>
          <w:p w:rsidR="00C31962" w:rsidRDefault="00C31962" w:rsidP="008E3DED">
            <w:pPr>
              <w:spacing w:after="0" w:line="240" w:lineRule="auto"/>
              <w:rPr>
                <w:rFonts w:cs="Arial"/>
                <w:b/>
                <w:lang w:val="en-GB"/>
              </w:rPr>
            </w:pPr>
            <w:r w:rsidRPr="00720F59">
              <w:rPr>
                <w:rFonts w:cs="Arial"/>
                <w:lang w:val="en-GB"/>
              </w:rPr>
              <w:t>Look for relations between the four numbers covered; move shape somewhere else and repeat</w:t>
            </w:r>
            <w:r>
              <w:rPr>
                <w:rFonts w:cs="Arial"/>
                <w:lang w:val="en-GB"/>
              </w:rPr>
              <w:t>,</w:t>
            </w:r>
            <w:r w:rsidRPr="00720F59">
              <w:rPr>
                <w:rFonts w:cs="Arial"/>
                <w:lang w:val="en-GB"/>
              </w:rPr>
              <w:t xml:space="preserve"> etc.; work individually but talk in pairs about the relations between the four numbers under their shape; eventually see the relation is the similar wherever the shape is put; they will want to generalise with two variables.</w:t>
            </w:r>
            <w:r w:rsidRPr="00720F59">
              <w:rPr>
                <w:rFonts w:cs="Arial"/>
                <w:b/>
                <w:lang w:val="en-GB"/>
              </w:rPr>
              <w:tab/>
            </w:r>
          </w:p>
          <w:p w:rsidR="00927592" w:rsidRDefault="00927592" w:rsidP="008E3DED">
            <w:pPr>
              <w:spacing w:after="0" w:line="240" w:lineRule="auto"/>
              <w:rPr>
                <w:rFonts w:cs="Arial"/>
                <w:b/>
                <w:lang w:val="en-GB"/>
              </w:rPr>
            </w:pPr>
          </w:p>
          <w:p w:rsidR="00927592" w:rsidRDefault="00927592" w:rsidP="008E3DED">
            <w:pPr>
              <w:spacing w:after="0" w:line="240" w:lineRule="auto"/>
              <w:rPr>
                <w:rFonts w:cs="Arial"/>
                <w:b/>
                <w:lang w:val="en-GB"/>
              </w:rPr>
            </w:pPr>
            <w:r w:rsidRPr="00927592">
              <w:rPr>
                <w:rFonts w:cs="Arial"/>
                <w:b/>
                <w:noProof/>
                <w:lang w:val="en-GB" w:eastAsia="en-GB" w:bidi="ar-SA"/>
              </w:rPr>
              <w:drawing>
                <wp:inline distT="0" distB="0" distL="0" distR="0">
                  <wp:extent cx="3119120" cy="235712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06689" cy="3200677"/>
                            <a:chOff x="2807335" y="1917700"/>
                            <a:chExt cx="3706689" cy="3200677"/>
                          </a:xfrm>
                        </a:grpSpPr>
                        <a:pic>
                          <a:nvPicPr>
                            <a:cNvPr id="9" name="table"/>
                            <a:cNvPicPr>
                              <a:picLocks noChangeAspect="1"/>
                            </a:cNvPicPr>
                          </a:nvPicPr>
                          <a:blipFill>
                            <a:blip r:embed="rId12"/>
                            <a:stretch>
                              <a:fillRect/>
                            </a:stretch>
                          </a:blipFill>
                          <a:spPr>
                            <a:xfrm>
                              <a:off x="2807335" y="1917700"/>
                              <a:ext cx="3706689" cy="3200677"/>
                            </a:xfrm>
                            <a:prstGeom prst="rect">
                              <a:avLst/>
                            </a:prstGeom>
                          </a:spPr>
                        </a:pic>
                        <a:grpSp>
                          <a:nvGrpSpPr>
                            <a:cNvPr id="4" name="Group 3"/>
                            <a:cNvGrpSpPr/>
                          </a:nvGrpSpPr>
                          <a:grpSpPr>
                            <a:xfrm>
                              <a:off x="3357554" y="2786058"/>
                              <a:ext cx="1500198" cy="928694"/>
                              <a:chOff x="3131840" y="1988840"/>
                              <a:chExt cx="1944216" cy="1296144"/>
                            </a:xfrm>
                          </a:grpSpPr>
                          <a:sp>
                            <a:nvSpPr>
                              <a:cNvPr id="5" name="Rectangle 4"/>
                              <a:cNvSpPr/>
                            </a:nvSpPr>
                            <a:spPr>
                              <a:xfrm>
                                <a:off x="3131840" y="1988840"/>
                                <a:ext cx="648072" cy="648072"/>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4427984" y="2636912"/>
                                <a:ext cx="648072" cy="648072"/>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3779912" y="2636912"/>
                                <a:ext cx="648072" cy="648072"/>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3779912" y="1988840"/>
                                <a:ext cx="648072" cy="648072"/>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927592" w:rsidRDefault="00927592" w:rsidP="008E3DED">
            <w:pPr>
              <w:spacing w:after="0" w:line="240" w:lineRule="auto"/>
              <w:rPr>
                <w:rFonts w:cs="Arial"/>
                <w:b/>
                <w:lang w:val="en-GB"/>
              </w:rPr>
            </w:pPr>
          </w:p>
          <w:p w:rsidR="00927592" w:rsidRPr="00927592" w:rsidRDefault="00927592" w:rsidP="00927592">
            <w:pPr>
              <w:tabs>
                <w:tab w:val="left" w:pos="308"/>
                <w:tab w:val="left" w:pos="2051"/>
                <w:tab w:val="left" w:pos="3904"/>
                <w:tab w:val="left" w:pos="6072"/>
                <w:tab w:val="left" w:pos="8074"/>
              </w:tabs>
              <w:spacing w:after="0" w:line="240" w:lineRule="auto"/>
              <w:rPr>
                <w:rFonts w:cs="Arial"/>
                <w:lang w:val="en-GB"/>
              </w:rPr>
            </w:pPr>
            <w:r w:rsidRPr="00927592">
              <w:rPr>
                <w:rFonts w:cs="Arial"/>
                <w:i/>
                <w:lang w:val="en-GB"/>
              </w:rPr>
              <w:t xml:space="preserve">Figure 5:  Example of a </w:t>
            </w:r>
            <w:proofErr w:type="spellStart"/>
            <w:r w:rsidRPr="00927592">
              <w:rPr>
                <w:rFonts w:cs="Arial"/>
                <w:i/>
                <w:lang w:val="en-GB"/>
              </w:rPr>
              <w:t>tetramino</w:t>
            </w:r>
            <w:proofErr w:type="spellEnd"/>
            <w:r w:rsidRPr="00927592">
              <w:rPr>
                <w:rFonts w:cs="Arial"/>
                <w:i/>
                <w:lang w:val="en-GB"/>
              </w:rPr>
              <w:t xml:space="preserve"> on a 7 x 7 counting grid</w:t>
            </w:r>
          </w:p>
          <w:p w:rsidR="00927592" w:rsidRDefault="00927592" w:rsidP="008E3DED">
            <w:pPr>
              <w:spacing w:after="0" w:line="240" w:lineRule="auto"/>
              <w:rPr>
                <w:rFonts w:cs="Arial"/>
                <w:b/>
                <w:lang w:val="en-GB"/>
              </w:rPr>
            </w:pPr>
          </w:p>
          <w:p w:rsidR="00927592" w:rsidRDefault="00927592" w:rsidP="008E3DED">
            <w:pPr>
              <w:spacing w:after="0" w:line="240" w:lineRule="auto"/>
              <w:rPr>
                <w:rFonts w:cs="Arial"/>
                <w:lang w:val="en-GB"/>
              </w:rPr>
            </w:pPr>
          </w:p>
        </w:tc>
      </w:tr>
      <w:tr w:rsidR="00C31962" w:rsidTr="001714E4">
        <w:tc>
          <w:tcPr>
            <w:tcW w:w="381" w:type="dxa"/>
          </w:tcPr>
          <w:p w:rsidR="00C31962" w:rsidRDefault="006A3282" w:rsidP="008E3DED">
            <w:pPr>
              <w:spacing w:after="0" w:line="240" w:lineRule="auto"/>
              <w:rPr>
                <w:rFonts w:cs="Arial"/>
                <w:lang w:val="en-GB"/>
              </w:rPr>
            </w:pPr>
            <w:r w:rsidRPr="00720F59">
              <w:rPr>
                <w:rFonts w:cs="Arial"/>
                <w:lang w:val="en-GB"/>
              </w:rPr>
              <w:t>3</w:t>
            </w:r>
          </w:p>
        </w:tc>
        <w:tc>
          <w:tcPr>
            <w:tcW w:w="2693" w:type="dxa"/>
          </w:tcPr>
          <w:p w:rsidR="00C31962" w:rsidRPr="00F96338" w:rsidRDefault="006A3282" w:rsidP="00F96338">
            <w:pPr>
              <w:spacing w:after="0" w:line="240" w:lineRule="auto"/>
              <w:ind w:left="720" w:hanging="720"/>
              <w:rPr>
                <w:rFonts w:cs="Arial"/>
                <w:b/>
                <w:lang w:val="en-GB"/>
              </w:rPr>
            </w:pPr>
            <w:r w:rsidRPr="00720F59">
              <w:rPr>
                <w:rFonts w:cs="Arial"/>
                <w:i/>
                <w:lang w:val="en-GB"/>
              </w:rPr>
              <w:t>General pedagogic purpose</w:t>
            </w:r>
          </w:p>
        </w:tc>
        <w:tc>
          <w:tcPr>
            <w:tcW w:w="5782" w:type="dxa"/>
          </w:tcPr>
          <w:p w:rsidR="00C31962" w:rsidRDefault="006A3282" w:rsidP="008E3DED">
            <w:pPr>
              <w:spacing w:after="0" w:line="240" w:lineRule="auto"/>
              <w:rPr>
                <w:rFonts w:cs="Arial"/>
                <w:lang w:val="en-GB"/>
              </w:rPr>
            </w:pPr>
            <w:r>
              <w:rPr>
                <w:rFonts w:cs="Arial"/>
                <w:lang w:val="en-GB"/>
              </w:rPr>
              <w:t>D</w:t>
            </w:r>
            <w:r w:rsidRPr="00720F59">
              <w:rPr>
                <w:rFonts w:cs="Arial"/>
                <w:lang w:val="en-GB"/>
              </w:rPr>
              <w:t>ifferent choices about how to express generalisations</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6A3282" w:rsidP="008E3DED">
            <w:pPr>
              <w:spacing w:after="0" w:line="240" w:lineRule="auto"/>
              <w:rPr>
                <w:rFonts w:cs="Arial"/>
                <w:lang w:val="en-GB"/>
              </w:rPr>
            </w:pPr>
            <w:r w:rsidRPr="00720F59">
              <w:rPr>
                <w:rFonts w:cs="Arial"/>
                <w:i/>
                <w:lang w:val="en-GB"/>
              </w:rPr>
              <w:t>Subject didactics purpose</w:t>
            </w:r>
          </w:p>
        </w:tc>
        <w:tc>
          <w:tcPr>
            <w:tcW w:w="5782" w:type="dxa"/>
          </w:tcPr>
          <w:p w:rsidR="00C31962" w:rsidRDefault="008E3DED" w:rsidP="008E3DED">
            <w:pPr>
              <w:spacing w:after="0" w:line="240" w:lineRule="auto"/>
              <w:rPr>
                <w:rFonts w:cs="Arial"/>
                <w:lang w:val="en-GB"/>
              </w:rPr>
            </w:pPr>
            <w:r>
              <w:rPr>
                <w:rFonts w:cs="Arial"/>
                <w:lang w:val="en-GB"/>
              </w:rPr>
              <w:t xml:space="preserve">The choice of </w:t>
            </w:r>
            <w:r w:rsidR="006A3282">
              <w:rPr>
                <w:rFonts w:cs="Arial"/>
                <w:lang w:val="en-GB"/>
              </w:rPr>
              <w:t>grid size</w:t>
            </w:r>
            <w:r>
              <w:rPr>
                <w:rFonts w:cs="Arial"/>
                <w:lang w:val="en-GB"/>
              </w:rPr>
              <w:t xml:space="preserve"> might</w:t>
            </w:r>
            <w:r w:rsidR="006A3282" w:rsidRPr="00720F59">
              <w:rPr>
                <w:rFonts w:cs="Arial"/>
                <w:lang w:val="en-GB"/>
              </w:rPr>
              <w:t xml:space="preserve"> introduce irrelevant</w:t>
            </w:r>
            <w:r>
              <w:rPr>
                <w:rFonts w:cs="Arial"/>
                <w:lang w:val="en-GB"/>
              </w:rPr>
              <w:t xml:space="preserve"> issues; choose</w:t>
            </w:r>
            <w:r w:rsidR="006A3282" w:rsidRPr="00720F59">
              <w:rPr>
                <w:rFonts w:cs="Arial"/>
                <w:lang w:val="en-GB"/>
              </w:rPr>
              <w:t xml:space="preserve"> </w:t>
            </w:r>
            <w:r>
              <w:rPr>
                <w:rFonts w:cs="Arial"/>
                <w:lang w:val="en-GB"/>
              </w:rPr>
              <w:t xml:space="preserve">a </w:t>
            </w:r>
            <w:r w:rsidR="006A3282" w:rsidRPr="00720F59">
              <w:rPr>
                <w:rFonts w:cs="Arial"/>
                <w:lang w:val="en-GB"/>
              </w:rPr>
              <w:t>grid</w:t>
            </w:r>
            <w:r>
              <w:rPr>
                <w:rFonts w:cs="Arial"/>
                <w:lang w:val="en-GB"/>
              </w:rPr>
              <w:t xml:space="preserve"> that</w:t>
            </w:r>
            <w:r w:rsidR="006A3282" w:rsidRPr="00720F59">
              <w:rPr>
                <w:rFonts w:cs="Arial"/>
                <w:lang w:val="en-GB"/>
              </w:rPr>
              <w:t xml:space="preserve"> insti</w:t>
            </w:r>
            <w:r>
              <w:rPr>
                <w:rFonts w:cs="Arial"/>
                <w:lang w:val="en-GB"/>
              </w:rPr>
              <w:t>gates generalisation</w:t>
            </w:r>
            <w:r w:rsidR="006A3282" w:rsidRPr="00720F59">
              <w:rPr>
                <w:rFonts w:cs="Arial"/>
                <w:lang w:val="en-GB"/>
              </w:rPr>
              <w:t>; people move from local generalisation to broader generalisation by being given varied examples.</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6A3282" w:rsidRDefault="006A3282" w:rsidP="008E3DED">
            <w:pPr>
              <w:spacing w:after="0" w:line="240" w:lineRule="auto"/>
              <w:ind w:left="720" w:hanging="720"/>
              <w:rPr>
                <w:rFonts w:cs="Arial"/>
                <w:lang w:val="en-GB"/>
              </w:rPr>
            </w:pPr>
            <w:r w:rsidRPr="00720F59">
              <w:rPr>
                <w:rFonts w:cs="Arial"/>
                <w:i/>
                <w:lang w:val="en-GB"/>
              </w:rPr>
              <w:t>Mathematical content</w:t>
            </w:r>
          </w:p>
          <w:p w:rsidR="00C31962" w:rsidRDefault="00C31962" w:rsidP="008E3DED">
            <w:pPr>
              <w:spacing w:after="0" w:line="240" w:lineRule="auto"/>
              <w:rPr>
                <w:rFonts w:cs="Arial"/>
                <w:lang w:val="en-GB"/>
              </w:rPr>
            </w:pPr>
          </w:p>
        </w:tc>
        <w:tc>
          <w:tcPr>
            <w:tcW w:w="5782" w:type="dxa"/>
          </w:tcPr>
          <w:p w:rsidR="00C31962" w:rsidRDefault="006A3282" w:rsidP="008E3DED">
            <w:pPr>
              <w:spacing w:after="0" w:line="240" w:lineRule="auto"/>
              <w:rPr>
                <w:rFonts w:cs="Arial"/>
                <w:lang w:val="en-GB"/>
              </w:rPr>
            </w:pPr>
            <w:r w:rsidRPr="00720F59">
              <w:rPr>
                <w:rFonts w:cs="Arial"/>
                <w:lang w:val="en-GB"/>
              </w:rPr>
              <w:t>Generalisation with one variable; variables and parameters are different kinds of generalisation</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6A3282" w:rsidRPr="00720F59" w:rsidRDefault="006A3282" w:rsidP="008E3DED">
            <w:pPr>
              <w:spacing w:after="0" w:line="240" w:lineRule="auto"/>
              <w:ind w:left="720" w:hanging="720"/>
              <w:rPr>
                <w:rFonts w:cs="Arial"/>
                <w:b/>
                <w:lang w:val="en-GB"/>
              </w:rPr>
            </w:pPr>
            <w:r>
              <w:rPr>
                <w:rFonts w:cs="Arial"/>
                <w:i/>
                <w:lang w:val="en-GB"/>
              </w:rPr>
              <w:t xml:space="preserve">Teacher educator </w:t>
            </w:r>
            <w:r w:rsidRPr="00720F59">
              <w:rPr>
                <w:rFonts w:cs="Arial"/>
                <w:i/>
                <w:lang w:val="en-GB"/>
              </w:rPr>
              <w:t>action</w:t>
            </w:r>
            <w:r w:rsidRPr="00720F59">
              <w:rPr>
                <w:rFonts w:cs="Arial"/>
                <w:lang w:val="en-GB"/>
              </w:rPr>
              <w:t xml:space="preserve"> </w:t>
            </w:r>
          </w:p>
          <w:p w:rsidR="00C31962" w:rsidRDefault="00C31962" w:rsidP="008E3DED">
            <w:pPr>
              <w:spacing w:after="0" w:line="240" w:lineRule="auto"/>
              <w:rPr>
                <w:rFonts w:cs="Arial"/>
                <w:lang w:val="en-GB"/>
              </w:rPr>
            </w:pPr>
          </w:p>
        </w:tc>
        <w:tc>
          <w:tcPr>
            <w:tcW w:w="5782" w:type="dxa"/>
          </w:tcPr>
          <w:p w:rsidR="00C31962" w:rsidRDefault="006A3282" w:rsidP="008E3DED">
            <w:pPr>
              <w:spacing w:after="0" w:line="240" w:lineRule="auto"/>
              <w:rPr>
                <w:rFonts w:cs="Arial"/>
                <w:lang w:val="en-GB"/>
              </w:rPr>
            </w:pPr>
            <w:r w:rsidRPr="00720F59">
              <w:rPr>
                <w:rFonts w:cs="Arial"/>
                <w:lang w:val="en-GB"/>
              </w:rPr>
              <w:t>Give out 7x7 and 8x8 counting grids; encourage generalisation.</w:t>
            </w:r>
            <w:r w:rsidRPr="00720F59">
              <w:rPr>
                <w:rFonts w:cs="Arial"/>
                <w:b/>
                <w:lang w:val="en-GB"/>
              </w:rPr>
              <w:t xml:space="preserve"> </w:t>
            </w:r>
            <w:r>
              <w:rPr>
                <w:rFonts w:cs="Arial"/>
                <w:lang w:val="en-GB"/>
              </w:rPr>
              <w:t>D</w:t>
            </w:r>
            <w:r w:rsidRPr="00720F59">
              <w:rPr>
                <w:rFonts w:cs="Arial"/>
                <w:lang w:val="en-GB"/>
              </w:rPr>
              <w:t>iscuss difference between generalising variables and generalising parameters.</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F96338" w:rsidP="008E3DED">
            <w:pPr>
              <w:spacing w:after="0" w:line="240" w:lineRule="auto"/>
              <w:rPr>
                <w:rFonts w:cs="Arial"/>
                <w:lang w:val="en-GB"/>
              </w:rPr>
            </w:pPr>
            <w:r>
              <w:rPr>
                <w:rFonts w:cs="Arial"/>
                <w:i/>
                <w:lang w:val="en-GB"/>
              </w:rPr>
              <w:t>Teacher</w:t>
            </w:r>
            <w:r w:rsidR="006A3282" w:rsidRPr="00720F59">
              <w:rPr>
                <w:rFonts w:cs="Arial"/>
                <w:i/>
                <w:lang w:val="en-GB"/>
              </w:rPr>
              <w:t xml:space="preserve"> activity</w:t>
            </w:r>
          </w:p>
        </w:tc>
        <w:tc>
          <w:tcPr>
            <w:tcW w:w="5782" w:type="dxa"/>
          </w:tcPr>
          <w:p w:rsidR="00C31962" w:rsidRDefault="006A3282" w:rsidP="008E3DED">
            <w:pPr>
              <w:spacing w:after="0" w:line="240" w:lineRule="auto"/>
              <w:rPr>
                <w:rFonts w:cs="Arial"/>
                <w:lang w:val="en-GB"/>
              </w:rPr>
            </w:pPr>
            <w:r w:rsidRPr="00720F59">
              <w:rPr>
                <w:rFonts w:cs="Arial"/>
                <w:lang w:val="en-GB"/>
              </w:rPr>
              <w:t>On 7x7, and then 8x8 counting grids when provided, repeat the search for relations between the four numbers covered</w:t>
            </w:r>
            <w:r w:rsidR="00927592">
              <w:rPr>
                <w:rFonts w:cs="Arial"/>
                <w:lang w:val="en-GB"/>
              </w:rPr>
              <w:t xml:space="preserve"> (see Figure 5)</w:t>
            </w:r>
            <w:r w:rsidRPr="00720F59">
              <w:rPr>
                <w:rFonts w:cs="Arial"/>
                <w:lang w:val="en-GB"/>
              </w:rPr>
              <w:t xml:space="preserve">. </w:t>
            </w:r>
            <w:r>
              <w:rPr>
                <w:rFonts w:cs="Arial"/>
                <w:lang w:val="en-GB"/>
              </w:rPr>
              <w:t xml:space="preserve">Past experience indicates that they can be </w:t>
            </w:r>
            <w:r>
              <w:rPr>
                <w:rFonts w:cs="Arial"/>
                <w:lang w:val="en-GB"/>
              </w:rPr>
              <w:lastRenderedPageBreak/>
              <w:t>expected spontaneously</w:t>
            </w:r>
            <w:r w:rsidRPr="00720F59">
              <w:rPr>
                <w:rFonts w:cs="Arial"/>
                <w:lang w:val="en-GB"/>
              </w:rPr>
              <w:t xml:space="preserve"> </w:t>
            </w:r>
            <w:r>
              <w:rPr>
                <w:rFonts w:cs="Arial"/>
                <w:lang w:val="en-GB"/>
              </w:rPr>
              <w:t>to</w:t>
            </w:r>
            <w:r w:rsidRPr="00720F59">
              <w:rPr>
                <w:rFonts w:cs="Arial"/>
                <w:lang w:val="en-GB"/>
              </w:rPr>
              <w:t xml:space="preserve"> </w:t>
            </w:r>
            <w:r>
              <w:rPr>
                <w:rFonts w:cs="Arial"/>
                <w:lang w:val="en-GB"/>
              </w:rPr>
              <w:t>e</w:t>
            </w:r>
            <w:r w:rsidRPr="00720F59">
              <w:rPr>
                <w:rFonts w:cs="Arial"/>
                <w:lang w:val="en-GB"/>
              </w:rPr>
              <w:t xml:space="preserve">xpress the underlying relation symbolically for their own </w:t>
            </w:r>
            <w:r>
              <w:rPr>
                <w:rFonts w:cs="Arial"/>
                <w:lang w:val="en-GB"/>
              </w:rPr>
              <w:t>choice of shape and then</w:t>
            </w:r>
            <w:r w:rsidRPr="00720F59">
              <w:rPr>
                <w:rFonts w:cs="Arial"/>
                <w:lang w:val="en-GB"/>
              </w:rPr>
              <w:t xml:space="preserve"> generalise the grid size as a</w:t>
            </w:r>
            <w:r>
              <w:rPr>
                <w:rFonts w:cs="Arial"/>
                <w:lang w:val="en-GB"/>
              </w:rPr>
              <w:t xml:space="preserve"> new</w:t>
            </w:r>
            <w:r w:rsidRPr="00720F59">
              <w:rPr>
                <w:rFonts w:cs="Arial"/>
                <w:lang w:val="en-GB"/>
              </w:rPr>
              <w:t xml:space="preserve"> variable (parameter)</w:t>
            </w:r>
            <w:r>
              <w:rPr>
                <w:rFonts w:cs="Arial"/>
                <w:lang w:val="en-GB"/>
              </w:rPr>
              <w:t>.</w:t>
            </w:r>
          </w:p>
          <w:p w:rsidR="00223FD4" w:rsidRDefault="00223FD4" w:rsidP="008E3DED">
            <w:pPr>
              <w:spacing w:after="0" w:line="240" w:lineRule="auto"/>
              <w:rPr>
                <w:rFonts w:cs="Arial"/>
                <w:lang w:val="en-GB"/>
              </w:rPr>
            </w:pPr>
          </w:p>
          <w:p w:rsidR="00223FD4" w:rsidRPr="00927592" w:rsidRDefault="00223FD4" w:rsidP="00927592">
            <w:pPr>
              <w:spacing w:after="0" w:line="240" w:lineRule="auto"/>
              <w:ind w:left="720" w:hanging="720"/>
              <w:rPr>
                <w:rFonts w:cs="Arial"/>
                <w:b/>
                <w:lang w:val="en-GB"/>
              </w:rPr>
            </w:pPr>
            <w:r w:rsidRPr="00720F59">
              <w:rPr>
                <w:rFonts w:cs="Arial"/>
                <w:b/>
                <w:lang w:val="en-GB"/>
              </w:rPr>
              <w:tab/>
            </w:r>
          </w:p>
        </w:tc>
      </w:tr>
      <w:tr w:rsidR="008E3DED" w:rsidTr="001714E4">
        <w:tc>
          <w:tcPr>
            <w:tcW w:w="8856" w:type="dxa"/>
            <w:gridSpan w:val="3"/>
          </w:tcPr>
          <w:p w:rsidR="008E3DED" w:rsidRPr="008E3DED" w:rsidRDefault="008E3DED" w:rsidP="008E3DED">
            <w:pPr>
              <w:spacing w:after="0" w:line="240" w:lineRule="auto"/>
              <w:ind w:left="720" w:hanging="720"/>
              <w:rPr>
                <w:rFonts w:cs="Arial"/>
                <w:b/>
                <w:lang w:val="en-GB"/>
              </w:rPr>
            </w:pPr>
            <w:r w:rsidRPr="000B02ED">
              <w:rPr>
                <w:rFonts w:cs="Arial"/>
                <w:b/>
                <w:lang w:val="en-GB"/>
              </w:rPr>
              <w:lastRenderedPageBreak/>
              <w:t xml:space="preserve">New forms of question </w:t>
            </w:r>
          </w:p>
        </w:tc>
      </w:tr>
      <w:tr w:rsidR="00C31962" w:rsidTr="001714E4">
        <w:tc>
          <w:tcPr>
            <w:tcW w:w="381" w:type="dxa"/>
          </w:tcPr>
          <w:p w:rsidR="00C31962" w:rsidRDefault="008E3DED" w:rsidP="008E3DED">
            <w:pPr>
              <w:spacing w:after="0" w:line="240" w:lineRule="auto"/>
              <w:rPr>
                <w:rFonts w:cs="Arial"/>
                <w:lang w:val="en-GB"/>
              </w:rPr>
            </w:pPr>
            <w:r>
              <w:rPr>
                <w:rFonts w:cs="Arial"/>
                <w:lang w:val="en-GB"/>
              </w:rPr>
              <w:t>4</w:t>
            </w:r>
          </w:p>
        </w:tc>
        <w:tc>
          <w:tcPr>
            <w:tcW w:w="2693" w:type="dxa"/>
          </w:tcPr>
          <w:p w:rsidR="006A3282" w:rsidRPr="00720F59" w:rsidRDefault="006A3282" w:rsidP="008E3DED">
            <w:pPr>
              <w:spacing w:after="0" w:line="240" w:lineRule="auto"/>
              <w:rPr>
                <w:rFonts w:cs="Arial"/>
                <w:b/>
                <w:lang w:val="en-GB"/>
              </w:rPr>
            </w:pPr>
            <w:r w:rsidRPr="00720F59">
              <w:rPr>
                <w:rFonts w:cs="Arial"/>
                <w:i/>
                <w:lang w:val="en-GB"/>
              </w:rPr>
              <w:t>Subject didactic purpose</w:t>
            </w:r>
          </w:p>
          <w:p w:rsidR="00C31962" w:rsidRDefault="00C31962" w:rsidP="008E3DED">
            <w:pPr>
              <w:spacing w:after="0" w:line="240" w:lineRule="auto"/>
              <w:rPr>
                <w:rFonts w:cs="Arial"/>
                <w:lang w:val="en-GB"/>
              </w:rPr>
            </w:pPr>
          </w:p>
        </w:tc>
        <w:tc>
          <w:tcPr>
            <w:tcW w:w="5782" w:type="dxa"/>
          </w:tcPr>
          <w:p w:rsidR="00C31962" w:rsidRDefault="006A3282" w:rsidP="008E3DED">
            <w:pPr>
              <w:spacing w:after="0" w:line="240" w:lineRule="auto"/>
              <w:rPr>
                <w:rFonts w:cs="Arial"/>
                <w:lang w:val="en-GB"/>
              </w:rPr>
            </w:pPr>
            <w:r w:rsidRPr="00720F59">
              <w:rPr>
                <w:rFonts w:cs="Arial"/>
                <w:lang w:val="en-GB"/>
              </w:rPr>
              <w:t xml:space="preserve">Questions that scaffold abstract conceptualisation, i.e. </w:t>
            </w:r>
            <w:r>
              <w:rPr>
                <w:rFonts w:cs="Arial"/>
                <w:lang w:val="en-GB"/>
              </w:rPr>
              <w:t>treating</w:t>
            </w:r>
            <w:r w:rsidRPr="00720F59">
              <w:rPr>
                <w:rFonts w:cs="Arial"/>
                <w:lang w:val="en-GB"/>
              </w:rPr>
              <w:t xml:space="preserve"> </w:t>
            </w:r>
            <w:r>
              <w:rPr>
                <w:rFonts w:cs="Arial"/>
                <w:lang w:val="en-GB"/>
              </w:rPr>
              <w:t>‘</w:t>
            </w:r>
            <w:r w:rsidRPr="00720F59">
              <w:rPr>
                <w:rFonts w:cs="Arial"/>
                <w:lang w:val="en-GB"/>
              </w:rPr>
              <w:t>grid/cell</w:t>
            </w:r>
            <w:r>
              <w:rPr>
                <w:rFonts w:cs="Arial"/>
                <w:lang w:val="en-GB"/>
              </w:rPr>
              <w:t>’</w:t>
            </w:r>
            <w:r w:rsidRPr="00720F59">
              <w:rPr>
                <w:rFonts w:cs="Arial"/>
                <w:lang w:val="en-GB"/>
              </w:rPr>
              <w:t xml:space="preserve"> combinations</w:t>
            </w:r>
            <w:r>
              <w:rPr>
                <w:rFonts w:cs="Arial"/>
                <w:lang w:val="en-GB"/>
              </w:rPr>
              <w:t xml:space="preserve"> like</w:t>
            </w:r>
            <w:r w:rsidRPr="00720F59">
              <w:rPr>
                <w:rFonts w:cs="Arial"/>
                <w:lang w:val="en-GB"/>
              </w:rPr>
              <w:t xml:space="preserve"> a new concept</w:t>
            </w:r>
            <w:r>
              <w:rPr>
                <w:rFonts w:cs="Arial"/>
                <w:lang w:val="en-GB"/>
              </w:rPr>
              <w:t>.</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6A3282" w:rsidP="00F96338">
            <w:pPr>
              <w:tabs>
                <w:tab w:val="left" w:pos="308"/>
                <w:tab w:val="left" w:pos="2051"/>
                <w:tab w:val="left" w:pos="3904"/>
                <w:tab w:val="left" w:pos="6072"/>
                <w:tab w:val="left" w:pos="8074"/>
              </w:tabs>
              <w:spacing w:after="0" w:line="240" w:lineRule="auto"/>
              <w:ind w:left="720" w:hanging="720"/>
              <w:rPr>
                <w:rFonts w:cs="Arial"/>
                <w:lang w:val="en-GB"/>
              </w:rPr>
            </w:pPr>
            <w:r w:rsidRPr="00720F59">
              <w:rPr>
                <w:rFonts w:cs="Arial"/>
                <w:i/>
                <w:lang w:val="en-GB"/>
              </w:rPr>
              <w:t>Mathematical content</w:t>
            </w:r>
          </w:p>
        </w:tc>
        <w:tc>
          <w:tcPr>
            <w:tcW w:w="5782" w:type="dxa"/>
          </w:tcPr>
          <w:p w:rsidR="00C31962" w:rsidRDefault="006A3282" w:rsidP="008E3DED">
            <w:pPr>
              <w:spacing w:after="0" w:line="240" w:lineRule="auto"/>
              <w:rPr>
                <w:rFonts w:cs="Arial"/>
                <w:lang w:val="en-GB"/>
              </w:rPr>
            </w:pPr>
            <w:r w:rsidRPr="00720F59">
              <w:rPr>
                <w:rFonts w:cs="Arial"/>
                <w:lang w:val="en-GB"/>
              </w:rPr>
              <w:t>Algebraic generalisation</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6A3282" w:rsidRPr="00720F59" w:rsidRDefault="006A3282" w:rsidP="008E3DED">
            <w:pPr>
              <w:spacing w:after="0" w:line="240" w:lineRule="auto"/>
              <w:ind w:left="720" w:hanging="720"/>
              <w:rPr>
                <w:rFonts w:cs="Arial"/>
                <w:b/>
                <w:lang w:val="en-GB"/>
              </w:rPr>
            </w:pPr>
            <w:r>
              <w:rPr>
                <w:rFonts w:cs="Arial"/>
                <w:i/>
                <w:lang w:val="en-GB"/>
              </w:rPr>
              <w:t>Teacher educator</w:t>
            </w:r>
            <w:r w:rsidRPr="00720F59">
              <w:rPr>
                <w:rFonts w:cs="Arial"/>
                <w:i/>
                <w:lang w:val="en-GB"/>
              </w:rPr>
              <w:t xml:space="preserve"> action</w:t>
            </w:r>
            <w:r w:rsidRPr="00720F59">
              <w:rPr>
                <w:rFonts w:cs="Arial"/>
                <w:b/>
                <w:lang w:val="en-GB"/>
              </w:rPr>
              <w:tab/>
            </w:r>
          </w:p>
          <w:p w:rsidR="00C31962" w:rsidRDefault="00C31962" w:rsidP="008E3DED">
            <w:pPr>
              <w:spacing w:after="0" w:line="240" w:lineRule="auto"/>
              <w:ind w:left="720" w:hanging="720"/>
              <w:rPr>
                <w:rFonts w:cs="Arial"/>
                <w:lang w:val="en-GB"/>
              </w:rPr>
            </w:pPr>
          </w:p>
        </w:tc>
        <w:tc>
          <w:tcPr>
            <w:tcW w:w="5782" w:type="dxa"/>
          </w:tcPr>
          <w:p w:rsidR="00C31962" w:rsidRDefault="006A3282" w:rsidP="008E3DED">
            <w:pPr>
              <w:spacing w:after="0" w:line="240" w:lineRule="auto"/>
              <w:rPr>
                <w:rFonts w:cs="Arial"/>
                <w:lang w:val="en-GB"/>
              </w:rPr>
            </w:pPr>
            <w:r w:rsidRPr="00720F59">
              <w:rPr>
                <w:rFonts w:cs="Arial"/>
                <w:lang w:val="en-GB"/>
              </w:rPr>
              <w:t>Ask questions that treat the ‘grid/cell’ combination as a new concept:</w:t>
            </w:r>
            <w:r w:rsidRPr="00720F59">
              <w:rPr>
                <w:rFonts w:cs="Arial"/>
                <w:b/>
                <w:lang w:val="en-GB"/>
              </w:rPr>
              <w:t xml:space="preserve"> </w:t>
            </w:r>
            <w:r w:rsidRPr="00720F59">
              <w:rPr>
                <w:rFonts w:cs="Arial"/>
                <w:lang w:val="en-GB"/>
              </w:rPr>
              <w:t xml:space="preserve">“what </w:t>
            </w:r>
            <w:proofErr w:type="spellStart"/>
            <w:r w:rsidRPr="00720F59">
              <w:rPr>
                <w:rFonts w:cs="Arial"/>
                <w:lang w:val="en-GB"/>
              </w:rPr>
              <w:t>tetraminoes</w:t>
            </w:r>
            <w:proofErr w:type="spellEnd"/>
            <w:r w:rsidRPr="00720F59">
              <w:rPr>
                <w:rFonts w:cs="Arial"/>
                <w:lang w:val="en-GB"/>
              </w:rPr>
              <w:t xml:space="preserve"> on what grids will cover cells n+9 and n-2?”</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6A3282" w:rsidRPr="00720F59" w:rsidRDefault="00F96338" w:rsidP="008E3DED">
            <w:pPr>
              <w:spacing w:after="0" w:line="240" w:lineRule="auto"/>
              <w:ind w:left="720" w:hanging="720"/>
              <w:rPr>
                <w:rFonts w:cs="Arial"/>
                <w:b/>
                <w:lang w:val="en-GB"/>
              </w:rPr>
            </w:pPr>
            <w:r>
              <w:rPr>
                <w:rFonts w:cs="Arial"/>
                <w:i/>
                <w:lang w:val="en-GB"/>
              </w:rPr>
              <w:t>Teacher</w:t>
            </w:r>
            <w:r w:rsidR="006A3282" w:rsidRPr="00720F59">
              <w:rPr>
                <w:rFonts w:cs="Arial"/>
                <w:i/>
                <w:lang w:val="en-GB"/>
              </w:rPr>
              <w:t xml:space="preserve"> activity</w:t>
            </w:r>
          </w:p>
          <w:p w:rsidR="00C31962" w:rsidRDefault="00C31962" w:rsidP="008E3DED">
            <w:pPr>
              <w:spacing w:after="0" w:line="240" w:lineRule="auto"/>
              <w:rPr>
                <w:rFonts w:cs="Arial"/>
                <w:lang w:val="en-GB"/>
              </w:rPr>
            </w:pPr>
          </w:p>
        </w:tc>
        <w:tc>
          <w:tcPr>
            <w:tcW w:w="5782" w:type="dxa"/>
          </w:tcPr>
          <w:p w:rsidR="00C31962" w:rsidRDefault="006A3282" w:rsidP="008E3DED">
            <w:pPr>
              <w:spacing w:after="0" w:line="240" w:lineRule="auto"/>
              <w:rPr>
                <w:rFonts w:cs="Arial"/>
                <w:lang w:val="en-GB"/>
              </w:rPr>
            </w:pPr>
            <w:proofErr w:type="spellStart"/>
            <w:r w:rsidRPr="00720F59">
              <w:rPr>
                <w:rFonts w:cs="Arial"/>
                <w:lang w:val="en-GB"/>
              </w:rPr>
              <w:t>Reorientate</w:t>
            </w:r>
            <w:proofErr w:type="spellEnd"/>
            <w:r w:rsidRPr="00720F59">
              <w:rPr>
                <w:rFonts w:cs="Arial"/>
                <w:lang w:val="en-GB"/>
              </w:rPr>
              <w:t xml:space="preserve"> their perceptions of the task to focus on ‘grid/cell’ combinations.</w:t>
            </w:r>
            <w:r w:rsidRPr="00720F59">
              <w:rPr>
                <w:rFonts w:cs="Arial"/>
                <w:b/>
                <w:lang w:val="en-GB"/>
              </w:rPr>
              <w:t xml:space="preserve"> </w:t>
            </w:r>
            <w:r w:rsidRPr="00720F59">
              <w:rPr>
                <w:rFonts w:cs="Arial"/>
                <w:lang w:val="en-GB"/>
              </w:rPr>
              <w:t>Shift from generalisations to abstract ‘grid/cell’ combinations.</w:t>
            </w:r>
          </w:p>
          <w:p w:rsidR="00927592" w:rsidRDefault="00927592" w:rsidP="008E3DED">
            <w:pPr>
              <w:spacing w:after="0" w:line="240" w:lineRule="auto"/>
              <w:rPr>
                <w:rFonts w:cs="Arial"/>
                <w:lang w:val="en-GB"/>
              </w:rPr>
            </w:pPr>
          </w:p>
        </w:tc>
      </w:tr>
      <w:tr w:rsidR="008E3DED" w:rsidTr="001714E4">
        <w:tc>
          <w:tcPr>
            <w:tcW w:w="8856" w:type="dxa"/>
            <w:gridSpan w:val="3"/>
          </w:tcPr>
          <w:p w:rsidR="008E3DED" w:rsidRPr="008E3DED" w:rsidRDefault="008E3DED" w:rsidP="008E3DED">
            <w:pPr>
              <w:tabs>
                <w:tab w:val="left" w:pos="308"/>
                <w:tab w:val="left" w:pos="2051"/>
                <w:tab w:val="left" w:pos="3904"/>
                <w:tab w:val="left" w:pos="6072"/>
                <w:tab w:val="left" w:pos="8074"/>
              </w:tabs>
              <w:spacing w:after="0" w:line="240" w:lineRule="auto"/>
              <w:rPr>
                <w:rFonts w:cs="Arial"/>
                <w:b/>
                <w:lang w:val="en-GB"/>
              </w:rPr>
            </w:pPr>
            <w:r w:rsidRPr="00FB0CB7">
              <w:rPr>
                <w:rFonts w:cs="Arial"/>
                <w:b/>
                <w:lang w:val="en-GB"/>
              </w:rPr>
              <w:t>Reflection</w:t>
            </w:r>
            <w:r>
              <w:rPr>
                <w:rFonts w:cs="Arial"/>
                <w:b/>
                <w:lang w:val="en-GB"/>
              </w:rPr>
              <w:t xml:space="preserve"> on task effects</w:t>
            </w:r>
          </w:p>
        </w:tc>
      </w:tr>
      <w:tr w:rsidR="00C31962" w:rsidTr="001714E4">
        <w:tc>
          <w:tcPr>
            <w:tcW w:w="381" w:type="dxa"/>
          </w:tcPr>
          <w:p w:rsidR="00C31962" w:rsidRDefault="008E3DED" w:rsidP="008E3DED">
            <w:pPr>
              <w:spacing w:after="0" w:line="240" w:lineRule="auto"/>
              <w:rPr>
                <w:rFonts w:cs="Arial"/>
                <w:lang w:val="en-GB"/>
              </w:rPr>
            </w:pPr>
            <w:r w:rsidRPr="00720F59">
              <w:rPr>
                <w:rFonts w:cs="Arial"/>
                <w:lang w:val="en-GB"/>
              </w:rPr>
              <w:t>5</w:t>
            </w:r>
          </w:p>
        </w:tc>
        <w:tc>
          <w:tcPr>
            <w:tcW w:w="2693" w:type="dxa"/>
          </w:tcPr>
          <w:p w:rsidR="006A3282" w:rsidRDefault="006A3282" w:rsidP="008E3DED">
            <w:pPr>
              <w:spacing w:after="0" w:line="240" w:lineRule="auto"/>
              <w:ind w:left="720" w:hanging="720"/>
              <w:rPr>
                <w:rFonts w:cs="Arial"/>
                <w:b/>
                <w:lang w:val="en-GB"/>
              </w:rPr>
            </w:pPr>
            <w:r w:rsidRPr="00720F59">
              <w:rPr>
                <w:rFonts w:cs="Arial"/>
                <w:i/>
                <w:lang w:val="en-GB"/>
              </w:rPr>
              <w:t>General pedagogic purpose</w:t>
            </w:r>
            <w:r w:rsidRPr="00720F59">
              <w:rPr>
                <w:rFonts w:cs="Arial"/>
                <w:b/>
                <w:lang w:val="en-GB"/>
              </w:rPr>
              <w:t xml:space="preserve"> </w:t>
            </w:r>
          </w:p>
          <w:p w:rsidR="00C31962" w:rsidRDefault="00C31962" w:rsidP="008E3DED">
            <w:pPr>
              <w:spacing w:after="0" w:line="240" w:lineRule="auto"/>
              <w:rPr>
                <w:rFonts w:cs="Arial"/>
                <w:lang w:val="en-GB"/>
              </w:rPr>
            </w:pPr>
          </w:p>
        </w:tc>
        <w:tc>
          <w:tcPr>
            <w:tcW w:w="5782" w:type="dxa"/>
          </w:tcPr>
          <w:p w:rsidR="00C31962" w:rsidRDefault="006A3282" w:rsidP="008E3DED">
            <w:pPr>
              <w:spacing w:after="0" w:line="240" w:lineRule="auto"/>
              <w:rPr>
                <w:rFonts w:cs="Arial"/>
                <w:lang w:val="en-GB"/>
              </w:rPr>
            </w:pPr>
            <w:r w:rsidRPr="00720F59">
              <w:rPr>
                <w:rFonts w:cs="Arial"/>
                <w:lang w:val="en-GB"/>
              </w:rPr>
              <w:t xml:space="preserve">Value of giving time to re-run a </w:t>
            </w:r>
            <w:r>
              <w:rPr>
                <w:rFonts w:cs="Arial"/>
                <w:lang w:val="en-GB"/>
              </w:rPr>
              <w:t>‘</w:t>
            </w:r>
            <w:r w:rsidRPr="00720F59">
              <w:rPr>
                <w:rFonts w:cs="Arial"/>
                <w:lang w:val="en-GB"/>
              </w:rPr>
              <w:t>memory video</w:t>
            </w:r>
            <w:r>
              <w:rPr>
                <w:rFonts w:cs="Arial"/>
                <w:lang w:val="en-GB"/>
              </w:rPr>
              <w:t>’</w:t>
            </w:r>
            <w:r w:rsidRPr="00720F59">
              <w:rPr>
                <w:rFonts w:cs="Arial"/>
                <w:lang w:val="en-GB"/>
              </w:rPr>
              <w:t xml:space="preserve"> of the lesson so far for themselves</w:t>
            </w:r>
            <w:r w:rsidRPr="00720F59">
              <w:rPr>
                <w:rFonts w:cs="Arial"/>
                <w:b/>
                <w:lang w:val="en-GB"/>
              </w:rPr>
              <w:t>.</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6A3282" w:rsidP="008E3DED">
            <w:pPr>
              <w:spacing w:after="0" w:line="240" w:lineRule="auto"/>
              <w:rPr>
                <w:rFonts w:cs="Arial"/>
                <w:lang w:val="en-GB"/>
              </w:rPr>
            </w:pPr>
            <w:r>
              <w:rPr>
                <w:rFonts w:cs="Arial"/>
                <w:i/>
                <w:lang w:val="en-GB"/>
              </w:rPr>
              <w:t xml:space="preserve">Teacher educator </w:t>
            </w:r>
            <w:r w:rsidRPr="00720F59">
              <w:rPr>
                <w:rFonts w:cs="Arial"/>
                <w:i/>
                <w:lang w:val="en-GB"/>
              </w:rPr>
              <w:t>action</w:t>
            </w:r>
          </w:p>
        </w:tc>
        <w:tc>
          <w:tcPr>
            <w:tcW w:w="5782" w:type="dxa"/>
          </w:tcPr>
          <w:p w:rsidR="00C31962" w:rsidRDefault="006A3282" w:rsidP="008E3DED">
            <w:pPr>
              <w:spacing w:after="0" w:line="240" w:lineRule="auto"/>
              <w:rPr>
                <w:rFonts w:cs="Arial"/>
                <w:lang w:val="en-GB"/>
              </w:rPr>
            </w:pPr>
            <w:r w:rsidRPr="00720F59">
              <w:rPr>
                <w:rFonts w:cs="Arial"/>
                <w:lang w:val="en-GB"/>
              </w:rPr>
              <w:t>Give a few minutes to make notes about what has happened for them so far</w:t>
            </w:r>
            <w:r>
              <w:rPr>
                <w:rFonts w:cs="Arial"/>
                <w:lang w:val="en-GB"/>
              </w:rPr>
              <w:t>.</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F96338" w:rsidP="008E3DED">
            <w:pPr>
              <w:spacing w:after="0" w:line="240" w:lineRule="auto"/>
              <w:rPr>
                <w:rFonts w:cs="Arial"/>
                <w:lang w:val="en-GB"/>
              </w:rPr>
            </w:pPr>
            <w:r>
              <w:rPr>
                <w:rFonts w:cs="Arial"/>
                <w:i/>
                <w:lang w:val="en-GB"/>
              </w:rPr>
              <w:t>Teacher</w:t>
            </w:r>
            <w:r w:rsidR="006A3282" w:rsidRPr="00720F59">
              <w:rPr>
                <w:rFonts w:cs="Arial"/>
                <w:i/>
                <w:lang w:val="en-GB"/>
              </w:rPr>
              <w:t xml:space="preserve"> activity</w:t>
            </w:r>
          </w:p>
        </w:tc>
        <w:tc>
          <w:tcPr>
            <w:tcW w:w="5782" w:type="dxa"/>
          </w:tcPr>
          <w:p w:rsidR="00C31962" w:rsidRDefault="006A3282" w:rsidP="008E3DED">
            <w:pPr>
              <w:spacing w:after="0" w:line="240" w:lineRule="auto"/>
              <w:rPr>
                <w:rFonts w:cs="Arial"/>
                <w:lang w:val="en-GB"/>
              </w:rPr>
            </w:pPr>
            <w:r w:rsidRPr="00720F59">
              <w:rPr>
                <w:rFonts w:cs="Arial"/>
                <w:lang w:val="en-GB"/>
              </w:rPr>
              <w:t>Make notes on tasks and mathematics and their own activity so far to keep track.</w:t>
            </w:r>
          </w:p>
          <w:p w:rsidR="00927592" w:rsidRDefault="00927592" w:rsidP="008E3DED">
            <w:pPr>
              <w:spacing w:after="0" w:line="240" w:lineRule="auto"/>
              <w:rPr>
                <w:rFonts w:cs="Arial"/>
                <w:lang w:val="en-GB"/>
              </w:rPr>
            </w:pPr>
          </w:p>
          <w:p w:rsidR="00927592" w:rsidRPr="00720F59" w:rsidRDefault="00927592" w:rsidP="00927592">
            <w:pPr>
              <w:tabs>
                <w:tab w:val="left" w:pos="308"/>
                <w:tab w:val="left" w:pos="2051"/>
                <w:tab w:val="left" w:pos="3904"/>
                <w:tab w:val="left" w:pos="6072"/>
                <w:tab w:val="left" w:pos="8074"/>
              </w:tabs>
              <w:spacing w:after="0" w:line="240" w:lineRule="auto"/>
              <w:ind w:left="720" w:hanging="720"/>
              <w:rPr>
                <w:rFonts w:cs="Arial"/>
                <w:lang w:val="en-GB"/>
              </w:rPr>
            </w:pPr>
            <w:r>
              <w:rPr>
                <w:rFonts w:cs="Arial"/>
                <w:noProof/>
                <w:lang w:val="en-GB" w:eastAsia="en-GB" w:bidi="ar-SA"/>
              </w:rPr>
              <w:drawing>
                <wp:inline distT="0" distB="0" distL="0" distR="0">
                  <wp:extent cx="2687320" cy="2514600"/>
                  <wp:effectExtent l="19050" t="0" r="0" b="0"/>
                  <wp:docPr id="3"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1406" cy="6181880"/>
                            <a:chOff x="714349" y="357165"/>
                            <a:chExt cx="7541406" cy="6181880"/>
                          </a:xfrm>
                        </a:grpSpPr>
                        <a:pic>
                          <a:nvPicPr>
                            <a:cNvPr id="8" name="table"/>
                            <a:cNvPicPr>
                              <a:picLocks noChangeAspect="1"/>
                            </a:cNvPicPr>
                          </a:nvPicPr>
                          <a:blipFill>
                            <a:blip r:embed="rId13"/>
                            <a:stretch>
                              <a:fillRect/>
                            </a:stretch>
                          </a:blipFill>
                          <a:spPr>
                            <a:xfrm>
                              <a:off x="714349" y="357165"/>
                              <a:ext cx="7541406" cy="6181880"/>
                            </a:xfrm>
                            <a:prstGeom prst="rect">
                              <a:avLst/>
                            </a:prstGeom>
                          </a:spPr>
                        </a:pic>
                        <a:grpSp>
                          <a:nvGrpSpPr>
                            <a:cNvPr id="3" name="Group 2"/>
                            <a:cNvGrpSpPr/>
                          </a:nvGrpSpPr>
                          <a:grpSpPr>
                            <a:xfrm>
                              <a:off x="4067944" y="2924944"/>
                              <a:ext cx="2232248" cy="1512168"/>
                              <a:chOff x="3131840" y="1988840"/>
                              <a:chExt cx="1944216" cy="1296144"/>
                            </a:xfrm>
                          </a:grpSpPr>
                          <a:sp>
                            <a:nvSpPr>
                              <a:cNvPr id="4" name="Rectangle 3"/>
                              <a:cNvSpPr/>
                            </a:nvSpPr>
                            <a:spPr>
                              <a:xfrm>
                                <a:off x="3131840" y="1988840"/>
                                <a:ext cx="648072" cy="648072"/>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4427984" y="2636912"/>
                                <a:ext cx="648072" cy="648072"/>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779912" y="2636912"/>
                                <a:ext cx="648072" cy="648072"/>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3779912" y="1988840"/>
                                <a:ext cx="648072" cy="648072"/>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927592" w:rsidRDefault="00927592" w:rsidP="00927592">
            <w:pPr>
              <w:tabs>
                <w:tab w:val="left" w:pos="308"/>
                <w:tab w:val="left" w:pos="2051"/>
                <w:tab w:val="left" w:pos="3904"/>
                <w:tab w:val="left" w:pos="6072"/>
                <w:tab w:val="left" w:pos="8074"/>
              </w:tabs>
              <w:spacing w:after="0" w:line="240" w:lineRule="auto"/>
              <w:ind w:left="720" w:hanging="720"/>
              <w:rPr>
                <w:rFonts w:cs="Arial"/>
                <w:b/>
                <w:lang w:val="en-GB"/>
              </w:rPr>
            </w:pPr>
          </w:p>
          <w:p w:rsidR="00927592" w:rsidRPr="00927592" w:rsidRDefault="00927592" w:rsidP="00927592">
            <w:pPr>
              <w:tabs>
                <w:tab w:val="left" w:pos="308"/>
                <w:tab w:val="left" w:pos="2051"/>
                <w:tab w:val="left" w:pos="3904"/>
                <w:tab w:val="left" w:pos="6072"/>
                <w:tab w:val="left" w:pos="8074"/>
              </w:tabs>
              <w:spacing w:after="0" w:line="240" w:lineRule="auto"/>
              <w:ind w:left="720" w:hanging="720"/>
              <w:rPr>
                <w:rFonts w:cs="Arial"/>
                <w:i/>
                <w:lang w:val="en-GB"/>
              </w:rPr>
            </w:pPr>
            <w:r w:rsidRPr="00927592">
              <w:rPr>
                <w:rFonts w:cs="Arial"/>
                <w:i/>
                <w:lang w:val="en-GB"/>
              </w:rPr>
              <w:t xml:space="preserve">Figure 6: Example of </w:t>
            </w:r>
            <w:proofErr w:type="spellStart"/>
            <w:r w:rsidRPr="00927592">
              <w:rPr>
                <w:rFonts w:cs="Arial"/>
                <w:i/>
                <w:lang w:val="en-GB"/>
              </w:rPr>
              <w:t>tetramino</w:t>
            </w:r>
            <w:proofErr w:type="spellEnd"/>
            <w:r w:rsidRPr="00927592">
              <w:rPr>
                <w:rFonts w:cs="Arial"/>
                <w:i/>
                <w:lang w:val="en-GB"/>
              </w:rPr>
              <w:t xml:space="preserve"> on a two-variable grid</w:t>
            </w:r>
          </w:p>
          <w:p w:rsidR="00927592" w:rsidRDefault="00927592" w:rsidP="008E3DED">
            <w:pPr>
              <w:spacing w:after="0" w:line="240" w:lineRule="auto"/>
              <w:rPr>
                <w:rFonts w:cs="Arial"/>
                <w:lang w:val="en-GB"/>
              </w:rPr>
            </w:pPr>
          </w:p>
        </w:tc>
      </w:tr>
      <w:tr w:rsidR="00C31962" w:rsidTr="001714E4">
        <w:tc>
          <w:tcPr>
            <w:tcW w:w="381" w:type="dxa"/>
          </w:tcPr>
          <w:p w:rsidR="00C31962" w:rsidRDefault="008E3DED" w:rsidP="008E3DED">
            <w:pPr>
              <w:spacing w:after="0" w:line="240" w:lineRule="auto"/>
              <w:rPr>
                <w:rFonts w:cs="Arial"/>
                <w:lang w:val="en-GB"/>
              </w:rPr>
            </w:pPr>
            <w:r>
              <w:rPr>
                <w:rFonts w:cs="Arial"/>
                <w:lang w:val="en-GB"/>
              </w:rPr>
              <w:t>6</w:t>
            </w:r>
          </w:p>
        </w:tc>
        <w:tc>
          <w:tcPr>
            <w:tcW w:w="2693" w:type="dxa"/>
          </w:tcPr>
          <w:p w:rsidR="00C31962" w:rsidRDefault="006A3282" w:rsidP="008E3DED">
            <w:pPr>
              <w:spacing w:after="0" w:line="240" w:lineRule="auto"/>
              <w:rPr>
                <w:rFonts w:cs="Arial"/>
                <w:lang w:val="en-GB"/>
              </w:rPr>
            </w:pPr>
            <w:r w:rsidRPr="00720F59">
              <w:rPr>
                <w:rFonts w:cs="Arial"/>
                <w:i/>
                <w:lang w:val="en-GB"/>
              </w:rPr>
              <w:t>General pedagogic purpose</w:t>
            </w:r>
          </w:p>
        </w:tc>
        <w:tc>
          <w:tcPr>
            <w:tcW w:w="5782" w:type="dxa"/>
          </w:tcPr>
          <w:p w:rsidR="00C31962" w:rsidRDefault="006A3282" w:rsidP="008E3DED">
            <w:pPr>
              <w:spacing w:after="0" w:line="240" w:lineRule="auto"/>
              <w:rPr>
                <w:rFonts w:cs="Arial"/>
                <w:lang w:val="en-GB"/>
              </w:rPr>
            </w:pPr>
            <w:r w:rsidRPr="00720F59">
              <w:rPr>
                <w:rFonts w:cs="Arial"/>
                <w:lang w:val="en-GB"/>
              </w:rPr>
              <w:t>A state of expertise is expected</w:t>
            </w:r>
            <w:r>
              <w:rPr>
                <w:rFonts w:cs="Arial"/>
                <w:lang w:val="en-GB"/>
              </w:rPr>
              <w:t xml:space="preserve"> and used</w:t>
            </w:r>
            <w:r w:rsidRPr="00720F59">
              <w:rPr>
                <w:rFonts w:cs="Arial"/>
                <w:lang w:val="en-GB"/>
              </w:rPr>
              <w:t>.</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6A3282" w:rsidP="008E3DED">
            <w:pPr>
              <w:spacing w:after="0" w:line="240" w:lineRule="auto"/>
              <w:rPr>
                <w:rFonts w:cs="Arial"/>
                <w:lang w:val="en-GB"/>
              </w:rPr>
            </w:pPr>
            <w:r w:rsidRPr="00720F59">
              <w:rPr>
                <w:rFonts w:cs="Arial"/>
                <w:i/>
                <w:lang w:val="en-GB"/>
              </w:rPr>
              <w:t>Subject didactic purpose</w:t>
            </w:r>
          </w:p>
        </w:tc>
        <w:tc>
          <w:tcPr>
            <w:tcW w:w="5782" w:type="dxa"/>
          </w:tcPr>
          <w:p w:rsidR="00C31962" w:rsidRDefault="00F96338" w:rsidP="00F96338">
            <w:pPr>
              <w:spacing w:after="0" w:line="240" w:lineRule="auto"/>
              <w:rPr>
                <w:rFonts w:cs="Arial"/>
                <w:lang w:val="en-GB"/>
              </w:rPr>
            </w:pPr>
            <w:r>
              <w:rPr>
                <w:rFonts w:cs="Arial"/>
                <w:lang w:val="en-GB"/>
              </w:rPr>
              <w:t>S</w:t>
            </w:r>
            <w:r w:rsidR="006A3282" w:rsidRPr="00720F59">
              <w:rPr>
                <w:rFonts w:cs="Arial"/>
                <w:lang w:val="en-GB"/>
              </w:rPr>
              <w:t>hift from one variable to two variables</w:t>
            </w:r>
            <w:r w:rsidR="006A3282">
              <w:rPr>
                <w:rFonts w:cs="Arial"/>
                <w:lang w:val="en-GB"/>
              </w:rPr>
              <w:t xml:space="preserve">. </w:t>
            </w:r>
            <w:r>
              <w:rPr>
                <w:rFonts w:cs="Arial"/>
                <w:lang w:val="en-GB"/>
              </w:rPr>
              <w:t>D</w:t>
            </w:r>
            <w:r w:rsidR="006A3282" w:rsidRPr="00720F59">
              <w:rPr>
                <w:rFonts w:cs="Arial"/>
                <w:lang w:val="en-GB"/>
              </w:rPr>
              <w:t>evelop this in a</w:t>
            </w:r>
            <w:r w:rsidR="006A3282">
              <w:rPr>
                <w:rFonts w:cs="Arial"/>
                <w:lang w:val="en-GB"/>
              </w:rPr>
              <w:t xml:space="preserve">n unfamiliar </w:t>
            </w:r>
            <w:r w:rsidR="006A3282" w:rsidRPr="00720F59">
              <w:rPr>
                <w:rFonts w:cs="Arial"/>
                <w:lang w:val="en-GB"/>
              </w:rPr>
              <w:t>direction.</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6A3282" w:rsidRPr="00720F59" w:rsidRDefault="006A3282" w:rsidP="008E3DED">
            <w:pPr>
              <w:tabs>
                <w:tab w:val="left" w:pos="308"/>
                <w:tab w:val="left" w:pos="2051"/>
                <w:tab w:val="left" w:pos="3904"/>
                <w:tab w:val="left" w:pos="6072"/>
                <w:tab w:val="left" w:pos="8074"/>
              </w:tabs>
              <w:spacing w:after="0" w:line="240" w:lineRule="auto"/>
              <w:ind w:left="720" w:hanging="720"/>
              <w:rPr>
                <w:rFonts w:cs="Arial"/>
                <w:lang w:val="en-GB"/>
              </w:rPr>
            </w:pPr>
            <w:r w:rsidRPr="00720F59">
              <w:rPr>
                <w:rFonts w:cs="Arial"/>
                <w:i/>
                <w:lang w:val="en-GB"/>
              </w:rPr>
              <w:t>Mathematical content</w:t>
            </w:r>
          </w:p>
          <w:p w:rsidR="00C31962" w:rsidRDefault="00C31962" w:rsidP="008E3DED">
            <w:pPr>
              <w:spacing w:after="0" w:line="240" w:lineRule="auto"/>
              <w:rPr>
                <w:rFonts w:cs="Arial"/>
                <w:lang w:val="en-GB"/>
              </w:rPr>
            </w:pPr>
          </w:p>
        </w:tc>
        <w:tc>
          <w:tcPr>
            <w:tcW w:w="5782" w:type="dxa"/>
          </w:tcPr>
          <w:p w:rsidR="00C31962" w:rsidRDefault="006A3282" w:rsidP="008E3DED">
            <w:pPr>
              <w:spacing w:after="0" w:line="240" w:lineRule="auto"/>
              <w:rPr>
                <w:rFonts w:cs="Arial"/>
                <w:lang w:val="en-GB"/>
              </w:rPr>
            </w:pPr>
            <w:r>
              <w:rPr>
                <w:rFonts w:cs="Arial"/>
                <w:lang w:val="en-GB"/>
              </w:rPr>
              <w:t>F</w:t>
            </w:r>
            <w:r w:rsidRPr="00720F59">
              <w:rPr>
                <w:rFonts w:cs="Arial"/>
                <w:lang w:val="en-GB"/>
              </w:rPr>
              <w:t>unctions with two independent variables</w:t>
            </w:r>
            <w:r>
              <w:rPr>
                <w:rFonts w:cs="Arial"/>
                <w:lang w:val="en-GB"/>
              </w:rPr>
              <w:t xml:space="preserve"> seen</w:t>
            </w:r>
            <w:r w:rsidRPr="00720F59">
              <w:rPr>
                <w:rFonts w:cs="Arial"/>
                <w:lang w:val="en-GB"/>
              </w:rPr>
              <w:t xml:space="preserve"> as values on a 2-d grid.</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6A3282" w:rsidP="008E3DED">
            <w:pPr>
              <w:spacing w:after="0" w:line="240" w:lineRule="auto"/>
              <w:rPr>
                <w:rFonts w:cs="Arial"/>
                <w:lang w:val="en-GB"/>
              </w:rPr>
            </w:pPr>
            <w:r>
              <w:rPr>
                <w:rFonts w:cs="Arial"/>
                <w:i/>
                <w:lang w:val="en-GB"/>
              </w:rPr>
              <w:t>Teacher educator</w:t>
            </w:r>
            <w:r w:rsidRPr="00720F59">
              <w:rPr>
                <w:rFonts w:cs="Arial"/>
                <w:i/>
                <w:lang w:val="en-GB"/>
              </w:rPr>
              <w:t xml:space="preserve"> action</w:t>
            </w:r>
          </w:p>
        </w:tc>
        <w:tc>
          <w:tcPr>
            <w:tcW w:w="5782" w:type="dxa"/>
          </w:tcPr>
          <w:p w:rsidR="00C31962" w:rsidRDefault="006A3282" w:rsidP="00927592">
            <w:pPr>
              <w:spacing w:after="0" w:line="240" w:lineRule="auto"/>
              <w:rPr>
                <w:rFonts w:cs="Arial"/>
                <w:lang w:val="en-GB"/>
              </w:rPr>
            </w:pPr>
            <w:r w:rsidRPr="00720F59">
              <w:rPr>
                <w:rFonts w:cs="Arial"/>
                <w:lang w:val="en-GB"/>
              </w:rPr>
              <w:t>Return to</w:t>
            </w:r>
            <w:r>
              <w:rPr>
                <w:rFonts w:cs="Arial"/>
                <w:lang w:val="en-GB"/>
              </w:rPr>
              <w:t xml:space="preserve"> the multiplication</w:t>
            </w:r>
            <w:r w:rsidRPr="00720F59">
              <w:rPr>
                <w:rFonts w:cs="Arial"/>
                <w:lang w:val="en-GB"/>
              </w:rPr>
              <w:t xml:space="preserve"> grid</w:t>
            </w:r>
            <w:r>
              <w:rPr>
                <w:rFonts w:cs="Arial"/>
                <w:lang w:val="en-GB"/>
              </w:rPr>
              <w:t xml:space="preserve">. </w:t>
            </w:r>
            <w:r w:rsidRPr="00720F59">
              <w:rPr>
                <w:rFonts w:cs="Arial"/>
                <w:lang w:val="en-GB"/>
              </w:rPr>
              <w:t>Give harder two-variable grids</w:t>
            </w:r>
            <w:r w:rsidRPr="00720F59" w:rsidDel="00E461F1">
              <w:rPr>
                <w:rFonts w:cs="Arial"/>
                <w:lang w:val="en-GB"/>
              </w:rPr>
              <w:t xml:space="preserve"> </w:t>
            </w:r>
            <w:r w:rsidRPr="00720F59">
              <w:rPr>
                <w:rFonts w:cs="Arial"/>
                <w:lang w:val="en-GB"/>
              </w:rPr>
              <w:t>to some</w:t>
            </w:r>
            <w:r w:rsidR="00927592">
              <w:rPr>
                <w:rFonts w:cs="Arial"/>
                <w:lang w:val="en-GB"/>
              </w:rPr>
              <w:t xml:space="preserve"> (see Figure 6 for an example)</w:t>
            </w:r>
            <w:r w:rsidR="00927592">
              <w:rPr>
                <w:rStyle w:val="FootnoteReference"/>
                <w:rFonts w:cs="Arial"/>
                <w:lang w:val="en-GB"/>
              </w:rPr>
              <w:t xml:space="preserve"> </w:t>
            </w:r>
            <w:r>
              <w:rPr>
                <w:rFonts w:cs="Arial"/>
                <w:lang w:val="en-GB"/>
              </w:rPr>
              <w:t>.</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F96338" w:rsidP="008E3DED">
            <w:pPr>
              <w:spacing w:after="0" w:line="240" w:lineRule="auto"/>
              <w:rPr>
                <w:rFonts w:cs="Arial"/>
                <w:lang w:val="en-GB"/>
              </w:rPr>
            </w:pPr>
            <w:r>
              <w:rPr>
                <w:rFonts w:cs="Arial"/>
                <w:i/>
                <w:lang w:val="en-GB"/>
              </w:rPr>
              <w:t>Teacher</w:t>
            </w:r>
            <w:r w:rsidR="006A3282" w:rsidRPr="00720F59">
              <w:rPr>
                <w:rFonts w:cs="Arial"/>
                <w:i/>
                <w:lang w:val="en-GB"/>
              </w:rPr>
              <w:t xml:space="preserve"> activity</w:t>
            </w:r>
          </w:p>
        </w:tc>
        <w:tc>
          <w:tcPr>
            <w:tcW w:w="5782" w:type="dxa"/>
          </w:tcPr>
          <w:p w:rsidR="00C31962" w:rsidRDefault="006A3282" w:rsidP="008E3DED">
            <w:pPr>
              <w:spacing w:after="0" w:line="240" w:lineRule="auto"/>
              <w:rPr>
                <w:rFonts w:cs="Arial"/>
                <w:lang w:val="en-GB"/>
              </w:rPr>
            </w:pPr>
            <w:r w:rsidRPr="00720F59">
              <w:rPr>
                <w:rFonts w:cs="Arial"/>
                <w:lang w:val="en-GB"/>
              </w:rPr>
              <w:t>Continue with a new kind of grid</w:t>
            </w:r>
            <w:r>
              <w:rPr>
                <w:rFonts w:cs="Arial"/>
                <w:lang w:val="en-GB"/>
              </w:rPr>
              <w:t xml:space="preserve"> that</w:t>
            </w:r>
            <w:r w:rsidRPr="00720F59">
              <w:rPr>
                <w:rFonts w:cs="Arial"/>
                <w:lang w:val="en-GB"/>
              </w:rPr>
              <w:t xml:space="preserve"> makes harder demands about generalisation.</w:t>
            </w:r>
          </w:p>
          <w:p w:rsidR="00927592" w:rsidRDefault="00927592" w:rsidP="008E3DED">
            <w:pPr>
              <w:spacing w:after="0" w:line="240" w:lineRule="auto"/>
              <w:rPr>
                <w:rFonts w:cs="Arial"/>
                <w:lang w:val="en-GB"/>
              </w:rPr>
            </w:pPr>
          </w:p>
        </w:tc>
      </w:tr>
      <w:tr w:rsidR="00F96338" w:rsidTr="001714E4">
        <w:tc>
          <w:tcPr>
            <w:tcW w:w="8856" w:type="dxa"/>
            <w:gridSpan w:val="3"/>
          </w:tcPr>
          <w:p w:rsidR="00F96338" w:rsidRPr="00F96338" w:rsidRDefault="00F96338" w:rsidP="00F96338">
            <w:pPr>
              <w:spacing w:after="0" w:line="240" w:lineRule="auto"/>
              <w:ind w:left="720" w:hanging="720"/>
              <w:rPr>
                <w:rFonts w:cs="Arial"/>
                <w:b/>
                <w:lang w:val="en-GB"/>
              </w:rPr>
            </w:pPr>
            <w:r w:rsidRPr="00FB0CB7">
              <w:rPr>
                <w:rFonts w:cs="Arial"/>
                <w:b/>
                <w:lang w:val="en-GB"/>
              </w:rPr>
              <w:t>Return to initial task</w:t>
            </w:r>
            <w:r>
              <w:rPr>
                <w:rFonts w:cs="Arial"/>
                <w:b/>
                <w:lang w:val="en-GB"/>
              </w:rPr>
              <w:t xml:space="preserve"> with higher level perceptions</w:t>
            </w:r>
          </w:p>
        </w:tc>
      </w:tr>
      <w:tr w:rsidR="00C31962" w:rsidTr="001714E4">
        <w:tc>
          <w:tcPr>
            <w:tcW w:w="381" w:type="dxa"/>
          </w:tcPr>
          <w:p w:rsidR="00C31962" w:rsidRDefault="00F96338" w:rsidP="008E3DED">
            <w:pPr>
              <w:spacing w:after="0" w:line="240" w:lineRule="auto"/>
              <w:rPr>
                <w:rFonts w:cs="Arial"/>
                <w:lang w:val="en-GB"/>
              </w:rPr>
            </w:pPr>
            <w:r w:rsidRPr="00720F59">
              <w:rPr>
                <w:rFonts w:cs="Arial"/>
                <w:lang w:val="en-GB"/>
              </w:rPr>
              <w:t>7</w:t>
            </w:r>
          </w:p>
        </w:tc>
        <w:tc>
          <w:tcPr>
            <w:tcW w:w="2693" w:type="dxa"/>
          </w:tcPr>
          <w:p w:rsidR="006A3282" w:rsidRPr="00720F59" w:rsidRDefault="006A3282" w:rsidP="00F96338">
            <w:pPr>
              <w:spacing w:after="0" w:line="240" w:lineRule="auto"/>
              <w:ind w:left="720" w:hanging="720"/>
              <w:rPr>
                <w:rFonts w:cs="Arial"/>
                <w:b/>
                <w:lang w:val="en-GB"/>
              </w:rPr>
            </w:pPr>
            <w:r w:rsidRPr="00720F59">
              <w:rPr>
                <w:rFonts w:cs="Arial"/>
                <w:i/>
                <w:lang w:val="en-GB"/>
              </w:rPr>
              <w:t>General pedagogic purpose</w:t>
            </w:r>
          </w:p>
          <w:p w:rsidR="00C31962" w:rsidRDefault="00C31962" w:rsidP="00F96338">
            <w:pPr>
              <w:tabs>
                <w:tab w:val="left" w:pos="308"/>
                <w:tab w:val="left" w:pos="2051"/>
                <w:tab w:val="left" w:pos="3904"/>
                <w:tab w:val="left" w:pos="6072"/>
                <w:tab w:val="left" w:pos="8074"/>
              </w:tabs>
              <w:spacing w:after="0" w:line="240" w:lineRule="auto"/>
              <w:ind w:left="720" w:hanging="720"/>
              <w:rPr>
                <w:rFonts w:cs="Arial"/>
                <w:lang w:val="en-GB"/>
              </w:rPr>
            </w:pPr>
          </w:p>
        </w:tc>
        <w:tc>
          <w:tcPr>
            <w:tcW w:w="5782" w:type="dxa"/>
          </w:tcPr>
          <w:p w:rsidR="00C31962" w:rsidRDefault="00F96338" w:rsidP="008E3DED">
            <w:pPr>
              <w:spacing w:after="0" w:line="240" w:lineRule="auto"/>
              <w:rPr>
                <w:rFonts w:cs="Arial"/>
                <w:lang w:val="en-GB"/>
              </w:rPr>
            </w:pPr>
            <w:r>
              <w:rPr>
                <w:rFonts w:cs="Arial"/>
                <w:lang w:val="en-GB"/>
              </w:rPr>
              <w:t>U</w:t>
            </w:r>
            <w:r w:rsidRPr="00720F59">
              <w:rPr>
                <w:rFonts w:cs="Arial"/>
                <w:lang w:val="en-GB"/>
              </w:rPr>
              <w:t>sing questioning to scaffold thinking to a new level of abstraction.</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F96338" w:rsidP="00F96338">
            <w:pPr>
              <w:tabs>
                <w:tab w:val="left" w:pos="308"/>
                <w:tab w:val="left" w:pos="2051"/>
                <w:tab w:val="left" w:pos="3904"/>
                <w:tab w:val="left" w:pos="6072"/>
                <w:tab w:val="left" w:pos="8074"/>
              </w:tabs>
              <w:spacing w:after="0" w:line="240" w:lineRule="auto"/>
              <w:ind w:left="720" w:hanging="720"/>
              <w:rPr>
                <w:rFonts w:cs="Arial"/>
                <w:lang w:val="en-GB"/>
              </w:rPr>
            </w:pPr>
            <w:r w:rsidRPr="00720F59">
              <w:rPr>
                <w:rFonts w:cs="Arial"/>
                <w:i/>
                <w:lang w:val="en-GB"/>
              </w:rPr>
              <w:t>Subject didactic purpose</w:t>
            </w:r>
            <w:r w:rsidRPr="00720F59">
              <w:rPr>
                <w:rFonts w:cs="Arial"/>
                <w:lang w:val="en-GB"/>
              </w:rPr>
              <w:t xml:space="preserve"> </w:t>
            </w:r>
          </w:p>
        </w:tc>
        <w:tc>
          <w:tcPr>
            <w:tcW w:w="5782" w:type="dxa"/>
          </w:tcPr>
          <w:p w:rsidR="00C31962" w:rsidRDefault="00F96338" w:rsidP="008E3DED">
            <w:pPr>
              <w:spacing w:after="0" w:line="240" w:lineRule="auto"/>
              <w:rPr>
                <w:rFonts w:cs="Arial"/>
                <w:lang w:val="en-GB"/>
              </w:rPr>
            </w:pPr>
            <w:r>
              <w:rPr>
                <w:rFonts w:cs="Arial"/>
                <w:lang w:val="en-GB"/>
              </w:rPr>
              <w:t>Q</w:t>
            </w:r>
            <w:r w:rsidRPr="00720F59">
              <w:rPr>
                <w:rFonts w:cs="Arial"/>
                <w:lang w:val="en-GB"/>
              </w:rPr>
              <w:t xml:space="preserve">uestions </w:t>
            </w:r>
            <w:r>
              <w:rPr>
                <w:rFonts w:cs="Arial"/>
                <w:lang w:val="en-GB"/>
              </w:rPr>
              <w:t>introduce</w:t>
            </w:r>
            <w:r w:rsidRPr="00720F59">
              <w:rPr>
                <w:rFonts w:cs="Arial"/>
                <w:lang w:val="en-GB"/>
              </w:rPr>
              <w:t xml:space="preserve"> new </w:t>
            </w:r>
            <w:r>
              <w:rPr>
                <w:rFonts w:cs="Arial"/>
                <w:lang w:val="en-GB"/>
              </w:rPr>
              <w:t>levels of abstraction.</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6A3282" w:rsidRDefault="006A3282" w:rsidP="008E3DED">
            <w:pPr>
              <w:tabs>
                <w:tab w:val="left" w:pos="308"/>
                <w:tab w:val="left" w:pos="2051"/>
                <w:tab w:val="left" w:pos="3904"/>
                <w:tab w:val="left" w:pos="6072"/>
                <w:tab w:val="left" w:pos="8074"/>
              </w:tabs>
              <w:spacing w:after="0" w:line="240" w:lineRule="auto"/>
              <w:ind w:left="720" w:hanging="720"/>
              <w:rPr>
                <w:rFonts w:cs="Arial"/>
                <w:lang w:val="en-GB"/>
              </w:rPr>
            </w:pPr>
            <w:r w:rsidRPr="00720F59">
              <w:rPr>
                <w:rFonts w:cs="Arial"/>
                <w:i/>
                <w:lang w:val="en-GB"/>
              </w:rPr>
              <w:t>Mathematical content</w:t>
            </w:r>
            <w:r w:rsidRPr="00720F59">
              <w:rPr>
                <w:rFonts w:cs="Arial"/>
                <w:lang w:val="en-GB"/>
              </w:rPr>
              <w:t xml:space="preserve">  </w:t>
            </w:r>
          </w:p>
          <w:p w:rsidR="00C31962" w:rsidRDefault="00C31962" w:rsidP="008E3DED">
            <w:pPr>
              <w:spacing w:after="0" w:line="240" w:lineRule="auto"/>
              <w:rPr>
                <w:rFonts w:cs="Arial"/>
                <w:lang w:val="en-GB"/>
              </w:rPr>
            </w:pPr>
          </w:p>
        </w:tc>
        <w:tc>
          <w:tcPr>
            <w:tcW w:w="5782" w:type="dxa"/>
          </w:tcPr>
          <w:p w:rsidR="00C31962" w:rsidRDefault="006A3282" w:rsidP="008E3DED">
            <w:pPr>
              <w:spacing w:after="0" w:line="240" w:lineRule="auto"/>
              <w:rPr>
                <w:rFonts w:cs="Arial"/>
                <w:lang w:val="en-GB"/>
              </w:rPr>
            </w:pPr>
            <w:r w:rsidRPr="00720F59">
              <w:rPr>
                <w:rFonts w:cs="Arial"/>
                <w:lang w:val="en-GB"/>
              </w:rPr>
              <w:t>The difference between inductive reasoning from numerical examples and structural reasoning from visual images.</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6A3282" w:rsidRPr="00720F59" w:rsidRDefault="006A3282" w:rsidP="008E3DED">
            <w:pPr>
              <w:spacing w:after="0" w:line="240" w:lineRule="auto"/>
              <w:ind w:left="720" w:hanging="720"/>
              <w:rPr>
                <w:rFonts w:cs="Arial"/>
                <w:b/>
                <w:lang w:val="en-GB"/>
              </w:rPr>
            </w:pPr>
            <w:r>
              <w:rPr>
                <w:rFonts w:cs="Arial"/>
                <w:i/>
                <w:lang w:val="en-GB"/>
              </w:rPr>
              <w:t>Teacher educator</w:t>
            </w:r>
            <w:r w:rsidRPr="00720F59">
              <w:rPr>
                <w:rFonts w:cs="Arial"/>
                <w:i/>
                <w:lang w:val="en-GB"/>
              </w:rPr>
              <w:t xml:space="preserve"> action</w:t>
            </w:r>
            <w:r w:rsidRPr="00720F59">
              <w:rPr>
                <w:rFonts w:cs="Arial"/>
                <w:b/>
                <w:lang w:val="en-GB"/>
              </w:rPr>
              <w:t xml:space="preserve"> </w:t>
            </w:r>
          </w:p>
          <w:p w:rsidR="00C31962" w:rsidRDefault="00C31962" w:rsidP="008E3DED">
            <w:pPr>
              <w:spacing w:after="0" w:line="240" w:lineRule="auto"/>
              <w:rPr>
                <w:rFonts w:cs="Arial"/>
                <w:lang w:val="en-GB"/>
              </w:rPr>
            </w:pPr>
          </w:p>
        </w:tc>
        <w:tc>
          <w:tcPr>
            <w:tcW w:w="5782" w:type="dxa"/>
          </w:tcPr>
          <w:p w:rsidR="00C31962" w:rsidRDefault="006A3282" w:rsidP="008E3DED">
            <w:pPr>
              <w:spacing w:after="0" w:line="240" w:lineRule="auto"/>
              <w:rPr>
                <w:rFonts w:cs="Arial"/>
                <w:lang w:val="en-GB"/>
              </w:rPr>
            </w:pPr>
            <w:r w:rsidRPr="00720F59">
              <w:rPr>
                <w:rFonts w:cs="Arial"/>
                <w:lang w:val="en-GB"/>
              </w:rPr>
              <w:t>Pose new questions</w:t>
            </w:r>
            <w:r>
              <w:rPr>
                <w:rFonts w:cs="Arial"/>
                <w:lang w:val="en-GB"/>
              </w:rPr>
              <w:t xml:space="preserve"> such as</w:t>
            </w:r>
            <w:r w:rsidRPr="00720F59">
              <w:rPr>
                <w:rFonts w:cs="Arial"/>
                <w:lang w:val="en-GB"/>
              </w:rPr>
              <w:t>: “what size shape do I need to cover cells (m, n+1) and (m-7, n+2)?”</w:t>
            </w:r>
            <w:r w:rsidRPr="00720F59">
              <w:rPr>
                <w:rFonts w:cs="Arial"/>
                <w:b/>
                <w:lang w:val="en-GB"/>
              </w:rPr>
              <w:tab/>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F96338" w:rsidP="008E3DED">
            <w:pPr>
              <w:spacing w:after="0" w:line="240" w:lineRule="auto"/>
              <w:rPr>
                <w:rFonts w:cs="Arial"/>
                <w:lang w:val="en-GB"/>
              </w:rPr>
            </w:pPr>
            <w:r>
              <w:rPr>
                <w:rFonts w:cs="Arial"/>
                <w:i/>
                <w:lang w:val="en-GB"/>
              </w:rPr>
              <w:t>Teacher</w:t>
            </w:r>
            <w:r w:rsidR="006A3282" w:rsidRPr="00720F59">
              <w:rPr>
                <w:rFonts w:cs="Arial"/>
                <w:i/>
                <w:lang w:val="en-GB"/>
              </w:rPr>
              <w:t xml:space="preserve"> activity</w:t>
            </w:r>
            <w:r w:rsidR="006A3282" w:rsidRPr="00720F59">
              <w:rPr>
                <w:rFonts w:cs="Arial"/>
                <w:b/>
                <w:lang w:val="en-GB"/>
              </w:rPr>
              <w:t xml:space="preserve"> </w:t>
            </w:r>
          </w:p>
        </w:tc>
        <w:tc>
          <w:tcPr>
            <w:tcW w:w="5782" w:type="dxa"/>
          </w:tcPr>
          <w:p w:rsidR="00C31962" w:rsidRDefault="006A3282" w:rsidP="008E3DED">
            <w:pPr>
              <w:spacing w:after="0" w:line="240" w:lineRule="auto"/>
              <w:rPr>
                <w:rFonts w:cs="Arial"/>
                <w:lang w:val="en-GB"/>
              </w:rPr>
            </w:pPr>
            <w:r w:rsidRPr="00720F59">
              <w:rPr>
                <w:rFonts w:cs="Arial"/>
                <w:lang w:val="en-GB"/>
              </w:rPr>
              <w:t>Move from concrete work on grids and operations to positional, abstract, mental image; think about shapes and cells.</w:t>
            </w:r>
          </w:p>
          <w:p w:rsidR="00927592" w:rsidRDefault="00927592" w:rsidP="008E3DED">
            <w:pPr>
              <w:spacing w:after="0" w:line="240" w:lineRule="auto"/>
              <w:rPr>
                <w:rFonts w:cs="Arial"/>
                <w:lang w:val="en-GB"/>
              </w:rPr>
            </w:pPr>
          </w:p>
        </w:tc>
      </w:tr>
      <w:tr w:rsidR="00F96338" w:rsidTr="001714E4">
        <w:tc>
          <w:tcPr>
            <w:tcW w:w="8856" w:type="dxa"/>
            <w:gridSpan w:val="3"/>
          </w:tcPr>
          <w:p w:rsidR="00F96338" w:rsidRPr="00F96338" w:rsidRDefault="00F96338" w:rsidP="00F96338">
            <w:pPr>
              <w:tabs>
                <w:tab w:val="left" w:pos="308"/>
                <w:tab w:val="left" w:pos="2051"/>
                <w:tab w:val="left" w:pos="3904"/>
                <w:tab w:val="left" w:pos="6072"/>
                <w:tab w:val="left" w:pos="8074"/>
              </w:tabs>
              <w:spacing w:after="0" w:line="240" w:lineRule="auto"/>
              <w:ind w:left="720" w:hanging="720"/>
              <w:rPr>
                <w:rFonts w:cs="Arial"/>
                <w:b/>
                <w:lang w:val="en-GB"/>
              </w:rPr>
            </w:pPr>
            <w:r>
              <w:rPr>
                <w:rFonts w:cs="Arial"/>
                <w:b/>
                <w:lang w:val="en-GB"/>
              </w:rPr>
              <w:t>Reflection on whole task sequence</w:t>
            </w:r>
          </w:p>
        </w:tc>
      </w:tr>
      <w:tr w:rsidR="00C31962" w:rsidTr="001714E4">
        <w:tc>
          <w:tcPr>
            <w:tcW w:w="381" w:type="dxa"/>
          </w:tcPr>
          <w:p w:rsidR="00C31962" w:rsidRDefault="00F96338" w:rsidP="008E3DED">
            <w:pPr>
              <w:spacing w:after="0" w:line="240" w:lineRule="auto"/>
              <w:rPr>
                <w:rFonts w:cs="Arial"/>
                <w:lang w:val="en-GB"/>
              </w:rPr>
            </w:pPr>
            <w:r>
              <w:rPr>
                <w:rFonts w:cs="Arial"/>
                <w:lang w:val="en-GB"/>
              </w:rPr>
              <w:t>8</w:t>
            </w:r>
          </w:p>
        </w:tc>
        <w:tc>
          <w:tcPr>
            <w:tcW w:w="2693" w:type="dxa"/>
          </w:tcPr>
          <w:p w:rsidR="006A3282" w:rsidRPr="00720F59" w:rsidRDefault="006A3282" w:rsidP="008E3DED">
            <w:pPr>
              <w:spacing w:after="0" w:line="240" w:lineRule="auto"/>
              <w:ind w:left="720" w:hanging="720"/>
              <w:rPr>
                <w:rFonts w:cs="Arial"/>
                <w:b/>
                <w:lang w:val="en-GB"/>
              </w:rPr>
            </w:pPr>
            <w:r w:rsidRPr="00720F59">
              <w:rPr>
                <w:rFonts w:cs="Arial"/>
                <w:i/>
                <w:lang w:val="en-GB"/>
              </w:rPr>
              <w:t>General pedagogic purpose</w:t>
            </w:r>
          </w:p>
          <w:p w:rsidR="00C31962" w:rsidRDefault="00C31962" w:rsidP="008E3DED">
            <w:pPr>
              <w:spacing w:after="0" w:line="240" w:lineRule="auto"/>
              <w:rPr>
                <w:rFonts w:cs="Arial"/>
                <w:lang w:val="en-GB"/>
              </w:rPr>
            </w:pPr>
          </w:p>
        </w:tc>
        <w:tc>
          <w:tcPr>
            <w:tcW w:w="5782" w:type="dxa"/>
          </w:tcPr>
          <w:p w:rsidR="00C31962" w:rsidRDefault="006A3282" w:rsidP="008E3DED">
            <w:pPr>
              <w:spacing w:after="0" w:line="240" w:lineRule="auto"/>
              <w:rPr>
                <w:rFonts w:cs="Arial"/>
                <w:lang w:val="en-GB"/>
              </w:rPr>
            </w:pPr>
            <w:r w:rsidRPr="00720F59">
              <w:rPr>
                <w:rFonts w:cs="Arial"/>
                <w:lang w:val="en-GB"/>
              </w:rPr>
              <w:t>Perceptions and generalisations depend on the variation available to learners.</w:t>
            </w:r>
          </w:p>
        </w:tc>
      </w:tr>
      <w:tr w:rsidR="00C31962" w:rsidTr="001714E4">
        <w:tc>
          <w:tcPr>
            <w:tcW w:w="381" w:type="dxa"/>
          </w:tcPr>
          <w:p w:rsidR="00C31962" w:rsidRDefault="00C31962" w:rsidP="008E3DED">
            <w:pPr>
              <w:spacing w:after="0" w:line="240" w:lineRule="auto"/>
              <w:rPr>
                <w:rFonts w:cs="Arial"/>
                <w:lang w:val="en-GB"/>
              </w:rPr>
            </w:pPr>
          </w:p>
        </w:tc>
        <w:tc>
          <w:tcPr>
            <w:tcW w:w="2693" w:type="dxa"/>
          </w:tcPr>
          <w:p w:rsidR="00C31962" w:rsidRDefault="006A3282" w:rsidP="008E3DED">
            <w:pPr>
              <w:spacing w:after="0" w:line="240" w:lineRule="auto"/>
              <w:rPr>
                <w:rFonts w:cs="Arial"/>
                <w:lang w:val="en-GB"/>
              </w:rPr>
            </w:pPr>
            <w:r w:rsidRPr="00720F59">
              <w:rPr>
                <w:rFonts w:cs="Arial"/>
                <w:i/>
                <w:lang w:val="en-GB"/>
              </w:rPr>
              <w:t>Subject didactic purpose</w:t>
            </w:r>
          </w:p>
        </w:tc>
        <w:tc>
          <w:tcPr>
            <w:tcW w:w="5782" w:type="dxa"/>
          </w:tcPr>
          <w:p w:rsidR="00C31962" w:rsidRDefault="006A3282" w:rsidP="008E3DED">
            <w:pPr>
              <w:spacing w:after="0" w:line="240" w:lineRule="auto"/>
              <w:rPr>
                <w:rFonts w:cs="Arial"/>
                <w:lang w:val="en-GB"/>
              </w:rPr>
            </w:pPr>
            <w:r w:rsidRPr="00720F59">
              <w:rPr>
                <w:rFonts w:cs="Arial"/>
                <w:lang w:val="en-GB"/>
              </w:rPr>
              <w:t>Identify the shifts of thinking and how they were achieved through task design.</w:t>
            </w:r>
            <w:r w:rsidRPr="00720F59">
              <w:rPr>
                <w:rFonts w:cs="Arial"/>
                <w:b/>
                <w:lang w:val="en-GB"/>
              </w:rPr>
              <w:t xml:space="preserve"> </w:t>
            </w:r>
            <w:r w:rsidRPr="00720F59">
              <w:rPr>
                <w:rFonts w:cs="Arial"/>
                <w:lang w:val="en-GB"/>
              </w:rPr>
              <w:t>Experience the power of ‘backwards’ questioning.</w:t>
            </w:r>
          </w:p>
        </w:tc>
      </w:tr>
      <w:tr w:rsidR="006A3282" w:rsidTr="001714E4">
        <w:tc>
          <w:tcPr>
            <w:tcW w:w="381" w:type="dxa"/>
          </w:tcPr>
          <w:p w:rsidR="006A3282" w:rsidRDefault="006A3282" w:rsidP="008E3DED">
            <w:pPr>
              <w:spacing w:after="0" w:line="240" w:lineRule="auto"/>
              <w:rPr>
                <w:rFonts w:cs="Arial"/>
                <w:lang w:val="en-GB"/>
              </w:rPr>
            </w:pPr>
          </w:p>
        </w:tc>
        <w:tc>
          <w:tcPr>
            <w:tcW w:w="2693" w:type="dxa"/>
          </w:tcPr>
          <w:p w:rsidR="006A3282" w:rsidRPr="00720F59" w:rsidRDefault="006A3282" w:rsidP="00F96338">
            <w:pPr>
              <w:spacing w:after="0" w:line="240" w:lineRule="auto"/>
              <w:rPr>
                <w:rFonts w:cs="Arial"/>
                <w:b/>
                <w:lang w:val="en-GB"/>
              </w:rPr>
            </w:pPr>
            <w:r>
              <w:rPr>
                <w:rFonts w:cs="Arial"/>
                <w:i/>
                <w:lang w:val="en-GB"/>
              </w:rPr>
              <w:t>Teacher educator</w:t>
            </w:r>
            <w:r w:rsidRPr="00720F59">
              <w:rPr>
                <w:rFonts w:cs="Arial"/>
                <w:i/>
                <w:lang w:val="en-GB"/>
              </w:rPr>
              <w:t xml:space="preserve"> action</w:t>
            </w:r>
          </w:p>
          <w:p w:rsidR="006A3282" w:rsidRPr="00720F59" w:rsidRDefault="006A3282" w:rsidP="008E3DED">
            <w:pPr>
              <w:spacing w:after="0" w:line="240" w:lineRule="auto"/>
              <w:ind w:left="720" w:hanging="720"/>
              <w:rPr>
                <w:rFonts w:cs="Arial"/>
                <w:i/>
                <w:lang w:val="en-GB"/>
              </w:rPr>
            </w:pPr>
          </w:p>
        </w:tc>
        <w:tc>
          <w:tcPr>
            <w:tcW w:w="5782" w:type="dxa"/>
          </w:tcPr>
          <w:p w:rsidR="006A3282" w:rsidRPr="00720F59" w:rsidRDefault="006A3282" w:rsidP="008E3DED">
            <w:pPr>
              <w:spacing w:after="0" w:line="240" w:lineRule="auto"/>
              <w:rPr>
                <w:rFonts w:cs="Arial"/>
                <w:lang w:val="en-GB"/>
              </w:rPr>
            </w:pPr>
            <w:r w:rsidRPr="00720F59">
              <w:rPr>
                <w:rFonts w:cs="Arial"/>
                <w:lang w:val="en-GB"/>
              </w:rPr>
              <w:t>Tell them the intentions for mathematical attention at each stage of the sequence and</w:t>
            </w:r>
            <w:r>
              <w:rPr>
                <w:rFonts w:cs="Arial"/>
                <w:lang w:val="en-GB"/>
              </w:rPr>
              <w:t xml:space="preserve"> how the task was structured</w:t>
            </w:r>
            <w:r w:rsidRPr="00720F59">
              <w:rPr>
                <w:rFonts w:cs="Arial"/>
                <w:lang w:val="en-GB"/>
              </w:rPr>
              <w:t xml:space="preserve"> to bring them about.</w:t>
            </w:r>
            <w:r w:rsidRPr="00720F59">
              <w:rPr>
                <w:rFonts w:cs="Arial"/>
                <w:b/>
                <w:lang w:val="en-GB"/>
              </w:rPr>
              <w:t xml:space="preserve"> </w:t>
            </w:r>
            <w:r w:rsidRPr="00720F59">
              <w:rPr>
                <w:rFonts w:cs="Arial"/>
                <w:lang w:val="en-GB"/>
              </w:rPr>
              <w:t>What did they notice about variation of questions at each stage of the abstraction process?</w:t>
            </w:r>
          </w:p>
        </w:tc>
      </w:tr>
      <w:tr w:rsidR="006A3282" w:rsidTr="001714E4">
        <w:tc>
          <w:tcPr>
            <w:tcW w:w="381" w:type="dxa"/>
          </w:tcPr>
          <w:p w:rsidR="006A3282" w:rsidRDefault="006A3282" w:rsidP="008E3DED">
            <w:pPr>
              <w:spacing w:after="0" w:line="240" w:lineRule="auto"/>
              <w:rPr>
                <w:rFonts w:cs="Arial"/>
                <w:lang w:val="en-GB"/>
              </w:rPr>
            </w:pPr>
          </w:p>
        </w:tc>
        <w:tc>
          <w:tcPr>
            <w:tcW w:w="2693" w:type="dxa"/>
          </w:tcPr>
          <w:p w:rsidR="006A3282" w:rsidRPr="00720F59" w:rsidRDefault="00F96338" w:rsidP="008E3DED">
            <w:pPr>
              <w:spacing w:after="0" w:line="240" w:lineRule="auto"/>
              <w:ind w:left="720" w:hanging="720"/>
              <w:rPr>
                <w:rFonts w:cs="Arial"/>
                <w:b/>
                <w:lang w:val="en-GB"/>
              </w:rPr>
            </w:pPr>
            <w:r>
              <w:rPr>
                <w:rFonts w:cs="Arial"/>
                <w:i/>
                <w:lang w:val="en-GB"/>
              </w:rPr>
              <w:t>Teacher</w:t>
            </w:r>
            <w:r w:rsidR="006A3282" w:rsidRPr="00720F59">
              <w:rPr>
                <w:rFonts w:cs="Arial"/>
                <w:i/>
                <w:lang w:val="en-GB"/>
              </w:rPr>
              <w:t xml:space="preserve"> activity</w:t>
            </w:r>
          </w:p>
          <w:p w:rsidR="006A3282" w:rsidRPr="00720F59" w:rsidRDefault="006A3282" w:rsidP="008E3DED">
            <w:pPr>
              <w:spacing w:after="0" w:line="240" w:lineRule="auto"/>
              <w:rPr>
                <w:rFonts w:cs="Arial"/>
                <w:i/>
                <w:lang w:val="en-GB"/>
              </w:rPr>
            </w:pPr>
          </w:p>
        </w:tc>
        <w:tc>
          <w:tcPr>
            <w:tcW w:w="5782" w:type="dxa"/>
          </w:tcPr>
          <w:p w:rsidR="006A3282" w:rsidRDefault="006A3282" w:rsidP="008E3DED">
            <w:pPr>
              <w:spacing w:after="0" w:line="240" w:lineRule="auto"/>
              <w:rPr>
                <w:rFonts w:cs="Arial"/>
                <w:lang w:val="en-GB"/>
              </w:rPr>
            </w:pPr>
            <w:r w:rsidRPr="00720F59">
              <w:rPr>
                <w:rFonts w:cs="Arial"/>
                <w:lang w:val="en-GB"/>
              </w:rPr>
              <w:t>Discuss the entire sequence of tasks using notes made previously and memory. Relate shifts in own thinking to changes in the task.</w:t>
            </w:r>
          </w:p>
          <w:p w:rsidR="00927592" w:rsidRDefault="00927592" w:rsidP="008E3DED">
            <w:pPr>
              <w:spacing w:after="0" w:line="240" w:lineRule="auto"/>
              <w:rPr>
                <w:rFonts w:cs="Arial"/>
                <w:lang w:val="en-GB"/>
              </w:rPr>
            </w:pPr>
          </w:p>
          <w:p w:rsidR="00927592" w:rsidRPr="00720F59" w:rsidRDefault="00927592" w:rsidP="008E3DED">
            <w:pPr>
              <w:spacing w:after="0" w:line="240" w:lineRule="auto"/>
              <w:rPr>
                <w:rFonts w:cs="Arial"/>
                <w:lang w:val="en-GB"/>
              </w:rPr>
            </w:pPr>
          </w:p>
        </w:tc>
      </w:tr>
      <w:tr w:rsidR="006A3282" w:rsidTr="001714E4">
        <w:tc>
          <w:tcPr>
            <w:tcW w:w="381" w:type="dxa"/>
          </w:tcPr>
          <w:p w:rsidR="006A3282" w:rsidRDefault="00F96338" w:rsidP="008E3DED">
            <w:pPr>
              <w:spacing w:after="0" w:line="240" w:lineRule="auto"/>
              <w:rPr>
                <w:rFonts w:cs="Arial"/>
                <w:lang w:val="en-GB"/>
              </w:rPr>
            </w:pPr>
            <w:r w:rsidRPr="00720F59">
              <w:rPr>
                <w:rFonts w:cs="Arial"/>
                <w:lang w:val="en-GB"/>
              </w:rPr>
              <w:t>9</w:t>
            </w:r>
          </w:p>
        </w:tc>
        <w:tc>
          <w:tcPr>
            <w:tcW w:w="2693" w:type="dxa"/>
          </w:tcPr>
          <w:p w:rsidR="006A3282" w:rsidRPr="00F96338" w:rsidRDefault="006A3282" w:rsidP="00F96338">
            <w:pPr>
              <w:tabs>
                <w:tab w:val="left" w:pos="308"/>
                <w:tab w:val="left" w:pos="2051"/>
                <w:tab w:val="left" w:pos="3904"/>
                <w:tab w:val="left" w:pos="6072"/>
                <w:tab w:val="left" w:pos="8074"/>
              </w:tabs>
              <w:spacing w:after="0" w:line="240" w:lineRule="auto"/>
              <w:ind w:left="720" w:hanging="720"/>
              <w:rPr>
                <w:rFonts w:cs="Arial"/>
                <w:b/>
                <w:lang w:val="en-GB"/>
              </w:rPr>
            </w:pPr>
            <w:r>
              <w:rPr>
                <w:rFonts w:cs="Arial"/>
                <w:i/>
                <w:lang w:val="en-GB"/>
              </w:rPr>
              <w:t>Teacher educator</w:t>
            </w:r>
            <w:r w:rsidRPr="00720F59">
              <w:rPr>
                <w:rFonts w:cs="Arial"/>
                <w:i/>
                <w:lang w:val="en-GB"/>
              </w:rPr>
              <w:t xml:space="preserve"> action</w:t>
            </w:r>
            <w:r w:rsidRPr="00720F59">
              <w:rPr>
                <w:rFonts w:cs="Arial"/>
                <w:b/>
                <w:lang w:val="en-GB"/>
              </w:rPr>
              <w:t xml:space="preserve"> </w:t>
            </w:r>
          </w:p>
        </w:tc>
        <w:tc>
          <w:tcPr>
            <w:tcW w:w="5782" w:type="dxa"/>
          </w:tcPr>
          <w:p w:rsidR="006A3282" w:rsidRPr="00720F59" w:rsidRDefault="006A3282" w:rsidP="008E3DED">
            <w:pPr>
              <w:spacing w:after="0" w:line="240" w:lineRule="auto"/>
              <w:rPr>
                <w:rFonts w:cs="Arial"/>
                <w:lang w:val="en-GB"/>
              </w:rPr>
            </w:pPr>
            <w:r w:rsidRPr="00720F59">
              <w:rPr>
                <w:rFonts w:cs="Arial"/>
                <w:lang w:val="en-GB"/>
              </w:rPr>
              <w:t>Give questionnaire with the two prompts in Table 1.</w:t>
            </w:r>
          </w:p>
        </w:tc>
      </w:tr>
    </w:tbl>
    <w:p w:rsidR="00DC591B" w:rsidRPr="00F96338" w:rsidRDefault="00DC591B" w:rsidP="00F96338">
      <w:pPr>
        <w:spacing w:after="0" w:line="240" w:lineRule="auto"/>
        <w:rPr>
          <w:rFonts w:cs="Arial"/>
          <w:i/>
          <w:lang w:val="en-GB"/>
        </w:rPr>
      </w:pPr>
      <w:r w:rsidRPr="00720F59">
        <w:rPr>
          <w:rFonts w:cs="Arial"/>
          <w:b/>
          <w:lang w:val="en-GB"/>
        </w:rPr>
        <w:tab/>
      </w:r>
      <w:r w:rsidRPr="00720F59">
        <w:rPr>
          <w:rFonts w:cs="Arial"/>
          <w:b/>
          <w:lang w:val="en-GB"/>
        </w:rPr>
        <w:tab/>
      </w:r>
      <w:r w:rsidRPr="00720F59">
        <w:rPr>
          <w:rFonts w:cs="Arial"/>
          <w:b/>
          <w:lang w:val="en-GB"/>
        </w:rPr>
        <w:tab/>
      </w:r>
    </w:p>
    <w:p w:rsidR="00B00352" w:rsidRPr="00720F59" w:rsidRDefault="00B00352" w:rsidP="004239D4">
      <w:pPr>
        <w:spacing w:after="0"/>
        <w:ind w:left="720" w:hanging="720"/>
        <w:rPr>
          <w:rFonts w:cs="Arial"/>
          <w:b/>
          <w:lang w:val="en-GB"/>
        </w:rPr>
      </w:pPr>
    </w:p>
    <w:p w:rsidR="00B00352" w:rsidRPr="00720F59" w:rsidRDefault="00B00352" w:rsidP="00B00352">
      <w:pPr>
        <w:rPr>
          <w:rFonts w:cs="Arial"/>
          <w:b/>
          <w:lang w:val="en-GB"/>
        </w:rPr>
      </w:pPr>
      <w:r w:rsidRPr="00720F59">
        <w:rPr>
          <w:rFonts w:cs="Arial"/>
          <w:lang w:val="en-GB"/>
        </w:rPr>
        <w:t xml:space="preserve">All </w:t>
      </w:r>
      <w:r w:rsidR="00674649" w:rsidRPr="00720F59">
        <w:rPr>
          <w:rFonts w:cs="Arial"/>
          <w:lang w:val="en-GB"/>
        </w:rPr>
        <w:t>29 prospective teachers</w:t>
      </w:r>
      <w:r w:rsidRPr="00720F59">
        <w:rPr>
          <w:rFonts w:cs="Arial"/>
          <w:lang w:val="en-GB"/>
        </w:rPr>
        <w:t xml:space="preserve"> responded to the </w:t>
      </w:r>
      <w:r w:rsidR="0073297A">
        <w:rPr>
          <w:rFonts w:cs="Arial"/>
          <w:lang w:val="en-GB"/>
        </w:rPr>
        <w:t xml:space="preserve">same </w:t>
      </w:r>
      <w:r w:rsidRPr="00720F59">
        <w:rPr>
          <w:rFonts w:cs="Arial"/>
          <w:lang w:val="en-GB"/>
        </w:rPr>
        <w:t>questionnaire</w:t>
      </w:r>
      <w:r w:rsidR="0073297A">
        <w:rPr>
          <w:rFonts w:cs="Arial"/>
          <w:lang w:val="en-GB"/>
        </w:rPr>
        <w:t xml:space="preserve"> as in the first task sequence (i.e., the two prompts in Table 1)</w:t>
      </w:r>
      <w:r w:rsidR="00614E71" w:rsidRPr="00720F59">
        <w:rPr>
          <w:rFonts w:cs="Arial"/>
          <w:lang w:val="en-GB"/>
        </w:rPr>
        <w:t xml:space="preserve">. </w:t>
      </w:r>
      <w:r w:rsidRPr="00720F59">
        <w:rPr>
          <w:rFonts w:cs="Arial"/>
          <w:lang w:val="en-GB"/>
        </w:rPr>
        <w:t>Analysis was done by first coll</w:t>
      </w:r>
      <w:r w:rsidR="0068017A">
        <w:rPr>
          <w:rFonts w:cs="Arial"/>
          <w:lang w:val="en-GB"/>
        </w:rPr>
        <w:t>a</w:t>
      </w:r>
      <w:r w:rsidRPr="00720F59">
        <w:rPr>
          <w:rFonts w:cs="Arial"/>
          <w:lang w:val="en-GB"/>
        </w:rPr>
        <w:t xml:space="preserve">ting all responses and identifying answers that </w:t>
      </w:r>
      <w:r w:rsidRPr="00720F59">
        <w:rPr>
          <w:rFonts w:cs="Arial"/>
          <w:lang w:val="en-GB"/>
        </w:rPr>
        <w:lastRenderedPageBreak/>
        <w:t>appeared to be close paraphrases of each other. These were then grouped further into broader themes about mathematical tasks</w:t>
      </w:r>
      <w:r w:rsidR="000C2E1C">
        <w:rPr>
          <w:rFonts w:cs="Arial"/>
          <w:lang w:val="en-GB"/>
        </w:rPr>
        <w:t xml:space="preserve"> and didactical intentions.</w:t>
      </w:r>
      <w:r w:rsidRPr="00720F59">
        <w:rPr>
          <w:rFonts w:cs="Arial"/>
          <w:lang w:val="en-GB"/>
        </w:rPr>
        <w:t xml:space="preserve"> </w:t>
      </w:r>
      <w:r w:rsidR="00614E71" w:rsidRPr="00720F59">
        <w:rPr>
          <w:rFonts w:cs="Arial"/>
          <w:lang w:val="en-GB"/>
        </w:rPr>
        <w:t xml:space="preserve">Here we </w:t>
      </w:r>
      <w:r w:rsidR="004A3613">
        <w:rPr>
          <w:rFonts w:cs="Arial"/>
          <w:lang w:val="en-GB"/>
        </w:rPr>
        <w:t>describe</w:t>
      </w:r>
      <w:r w:rsidR="001E6AA6" w:rsidRPr="00720F59">
        <w:rPr>
          <w:rFonts w:cs="Arial"/>
          <w:lang w:val="en-GB"/>
        </w:rPr>
        <w:t xml:space="preserve"> what </w:t>
      </w:r>
      <w:r w:rsidRPr="00720F59">
        <w:rPr>
          <w:rFonts w:cs="Arial"/>
          <w:lang w:val="en-GB"/>
        </w:rPr>
        <w:t xml:space="preserve">stood out for them </w:t>
      </w:r>
      <w:r w:rsidR="00DA2F4D">
        <w:rPr>
          <w:rFonts w:cs="Arial"/>
          <w:lang w:val="en-GB"/>
        </w:rPr>
        <w:t>as</w:t>
      </w:r>
      <w:r w:rsidR="00DA2F4D" w:rsidRPr="00720F59">
        <w:rPr>
          <w:rFonts w:cs="Arial"/>
          <w:lang w:val="en-GB"/>
        </w:rPr>
        <w:t xml:space="preserve"> </w:t>
      </w:r>
      <w:r w:rsidRPr="00720F59">
        <w:rPr>
          <w:rFonts w:cs="Arial"/>
          <w:lang w:val="en-GB"/>
        </w:rPr>
        <w:t>key events</w:t>
      </w:r>
      <w:r w:rsidR="00614E71" w:rsidRPr="00720F59">
        <w:rPr>
          <w:rFonts w:cs="Arial"/>
          <w:lang w:val="en-GB"/>
        </w:rPr>
        <w:t xml:space="preserve"> </w:t>
      </w:r>
      <w:r w:rsidR="00DA2F4D">
        <w:rPr>
          <w:rFonts w:cs="Arial"/>
          <w:lang w:val="en-GB"/>
        </w:rPr>
        <w:t xml:space="preserve">from the session (Prompt 1) </w:t>
      </w:r>
      <w:r w:rsidR="00614E71" w:rsidRPr="00720F59">
        <w:rPr>
          <w:rFonts w:cs="Arial"/>
          <w:lang w:val="en-GB"/>
        </w:rPr>
        <w:t>and</w:t>
      </w:r>
      <w:r w:rsidR="00674649" w:rsidRPr="00720F59">
        <w:rPr>
          <w:rFonts w:cs="Arial"/>
          <w:lang w:val="en-GB"/>
        </w:rPr>
        <w:t xml:space="preserve"> </w:t>
      </w:r>
      <w:r w:rsidR="00DA2F4D">
        <w:rPr>
          <w:rFonts w:cs="Arial"/>
          <w:lang w:val="en-GB"/>
        </w:rPr>
        <w:t>what ideas they</w:t>
      </w:r>
      <w:r w:rsidR="0068017A">
        <w:rPr>
          <w:rFonts w:cs="Arial"/>
          <w:lang w:val="en-GB"/>
        </w:rPr>
        <w:t xml:space="preserve"> </w:t>
      </w:r>
      <w:r w:rsidR="00DA2F4D">
        <w:rPr>
          <w:rFonts w:cs="Arial"/>
          <w:lang w:val="en-GB"/>
        </w:rPr>
        <w:t>envision</w:t>
      </w:r>
      <w:r w:rsidR="0068017A">
        <w:rPr>
          <w:rFonts w:cs="Arial"/>
          <w:lang w:val="en-GB"/>
        </w:rPr>
        <w:t>ed</w:t>
      </w:r>
      <w:r w:rsidR="00DA2F4D">
        <w:rPr>
          <w:rFonts w:cs="Arial"/>
          <w:lang w:val="en-GB"/>
        </w:rPr>
        <w:t xml:space="preserve"> using in their future planning and teaching (Prompt 2)</w:t>
      </w:r>
      <w:r w:rsidR="005041AE" w:rsidRPr="00720F59">
        <w:rPr>
          <w:rFonts w:cs="Arial"/>
          <w:lang w:val="en-GB"/>
        </w:rPr>
        <w:t>.</w:t>
      </w:r>
      <w:r w:rsidR="004A3613">
        <w:rPr>
          <w:rFonts w:cs="Arial"/>
          <w:lang w:val="en-GB"/>
        </w:rPr>
        <w:t xml:space="preserve"> A summary overview can be found in Table 4.</w:t>
      </w:r>
    </w:p>
    <w:p w:rsidR="00CD51B7" w:rsidRDefault="00CD51B7" w:rsidP="00B00352">
      <w:pPr>
        <w:pStyle w:val="Heading2"/>
        <w:rPr>
          <w:rFonts w:ascii="Calibri" w:hAnsi="Calibri"/>
          <w:sz w:val="22"/>
          <w:szCs w:val="22"/>
          <w:lang w:val="en-GB"/>
        </w:rPr>
      </w:pPr>
    </w:p>
    <w:p w:rsidR="00B00352" w:rsidRPr="00674649" w:rsidRDefault="00674649" w:rsidP="00B00352">
      <w:pPr>
        <w:pStyle w:val="Heading2"/>
        <w:rPr>
          <w:rFonts w:ascii="Calibri" w:hAnsi="Calibri"/>
          <w:sz w:val="22"/>
          <w:szCs w:val="22"/>
          <w:lang w:val="en-GB"/>
        </w:rPr>
      </w:pPr>
      <w:r>
        <w:rPr>
          <w:rFonts w:ascii="Calibri" w:hAnsi="Calibri"/>
          <w:sz w:val="22"/>
          <w:szCs w:val="22"/>
          <w:lang w:val="en-GB"/>
        </w:rPr>
        <w:t>ANALYSIS OF RESPONSES TO PROMPT 1: KEY EVENTS AND WHAT MADE THEM KEY</w:t>
      </w:r>
    </w:p>
    <w:p w:rsidR="001E6AA6" w:rsidRDefault="001E6AA6" w:rsidP="00B00352">
      <w:pPr>
        <w:rPr>
          <w:rFonts w:cs="Arial"/>
          <w:i/>
          <w:sz w:val="24"/>
          <w:szCs w:val="24"/>
          <w:lang w:val="en-GB"/>
        </w:rPr>
      </w:pPr>
    </w:p>
    <w:p w:rsidR="00B00352" w:rsidRPr="002A77EF" w:rsidRDefault="00B00352" w:rsidP="00B00352">
      <w:pPr>
        <w:rPr>
          <w:rFonts w:cs="Arial"/>
          <w:b/>
          <w:lang w:val="en-GB"/>
        </w:rPr>
      </w:pPr>
      <w:r w:rsidRPr="002A77EF">
        <w:rPr>
          <w:rFonts w:cs="Arial"/>
          <w:b/>
          <w:lang w:val="en-GB"/>
        </w:rPr>
        <w:t>Gradient of difficulty</w:t>
      </w:r>
      <w:r w:rsidR="000C2E1C">
        <w:rPr>
          <w:rFonts w:cs="Arial"/>
          <w:b/>
          <w:lang w:val="en-GB"/>
        </w:rPr>
        <w:t xml:space="preserve"> mentioned in a general way</w:t>
      </w:r>
    </w:p>
    <w:p w:rsidR="00B00352" w:rsidRPr="002A77EF" w:rsidRDefault="00B00352" w:rsidP="00B00352">
      <w:pPr>
        <w:rPr>
          <w:rFonts w:cs="Arial"/>
          <w:b/>
          <w:lang w:val="en-GB"/>
        </w:rPr>
      </w:pPr>
      <w:r w:rsidRPr="002A77EF">
        <w:rPr>
          <w:rFonts w:cs="Arial"/>
          <w:lang w:val="en-GB"/>
        </w:rPr>
        <w:t xml:space="preserve">23 </w:t>
      </w:r>
      <w:r w:rsidR="005F61EB">
        <w:rPr>
          <w:rFonts w:cs="Arial"/>
          <w:lang w:val="en-GB"/>
        </w:rPr>
        <w:t>prospective teachers</w:t>
      </w:r>
      <w:r w:rsidR="005F61EB" w:rsidRPr="002A77EF">
        <w:rPr>
          <w:rFonts w:cs="Arial"/>
          <w:lang w:val="en-GB"/>
        </w:rPr>
        <w:t xml:space="preserve"> </w:t>
      </w:r>
      <w:r w:rsidRPr="002A77EF">
        <w:rPr>
          <w:rFonts w:cs="Arial"/>
          <w:lang w:val="en-GB"/>
        </w:rPr>
        <w:t xml:space="preserve">mentioned their sense of a </w:t>
      </w:r>
      <w:r w:rsidR="00DA2F4D">
        <w:rPr>
          <w:rFonts w:cs="Arial"/>
          <w:lang w:val="en-GB"/>
        </w:rPr>
        <w:t>‘</w:t>
      </w:r>
      <w:r w:rsidRPr="002A77EF">
        <w:rPr>
          <w:rFonts w:cs="Arial"/>
          <w:lang w:val="en-GB"/>
        </w:rPr>
        <w:t>gradient of difficulty</w:t>
      </w:r>
      <w:r w:rsidR="00DA2F4D">
        <w:rPr>
          <w:rFonts w:cs="Arial"/>
          <w:lang w:val="en-GB"/>
        </w:rPr>
        <w:t>’</w:t>
      </w:r>
      <w:r w:rsidRPr="002A77EF">
        <w:rPr>
          <w:rFonts w:cs="Arial"/>
          <w:lang w:val="en-GB"/>
        </w:rPr>
        <w:t xml:space="preserve"> in the tasks.  Of these, 8 mentioned abstraction as something achieved through the questioning, 3 more mentioned “variation” as a tool for supporting generalisation. 10 mentioned the choice of numbers as important, and the remaining 2 remarked on the gradient but gave no more details. 5 further </w:t>
      </w:r>
      <w:r w:rsidR="00710C36">
        <w:rPr>
          <w:rFonts w:cs="Arial"/>
          <w:lang w:val="en-GB"/>
        </w:rPr>
        <w:t>responses</w:t>
      </w:r>
      <w:r w:rsidR="005F61EB" w:rsidRPr="002A77EF">
        <w:rPr>
          <w:rFonts w:cs="Arial"/>
          <w:lang w:val="en-GB"/>
        </w:rPr>
        <w:t xml:space="preserve"> </w:t>
      </w:r>
      <w:r w:rsidRPr="002A77EF">
        <w:rPr>
          <w:rFonts w:cs="Arial"/>
          <w:lang w:val="en-GB"/>
        </w:rPr>
        <w:t>commented that the first task had been harder and one said “engagement improved dramatically with the easier</w:t>
      </w:r>
      <w:r w:rsidR="009A1EA3">
        <w:rPr>
          <w:rFonts w:cs="Arial"/>
          <w:lang w:val="en-GB"/>
        </w:rPr>
        <w:t xml:space="preserve"> [7</w:t>
      </w:r>
      <w:r w:rsidR="00B56340">
        <w:rPr>
          <w:rFonts w:cs="Arial"/>
          <w:lang w:val="en-GB"/>
        </w:rPr>
        <w:t>x</w:t>
      </w:r>
      <w:r w:rsidR="009A1EA3">
        <w:rPr>
          <w:rFonts w:cs="Arial"/>
          <w:lang w:val="en-GB"/>
        </w:rPr>
        <w:t>7 grid with single variable]</w:t>
      </w:r>
      <w:r w:rsidRPr="002A77EF">
        <w:rPr>
          <w:rFonts w:cs="Arial"/>
          <w:lang w:val="en-GB"/>
        </w:rPr>
        <w:t xml:space="preserve"> task” although others thought that seeing the harder task</w:t>
      </w:r>
      <w:r w:rsidR="009A1EA3">
        <w:rPr>
          <w:rFonts w:cs="Arial"/>
          <w:lang w:val="en-GB"/>
        </w:rPr>
        <w:t xml:space="preserve"> [two-variable multiplication grid]</w:t>
      </w:r>
      <w:r w:rsidRPr="002A77EF">
        <w:rPr>
          <w:rFonts w:cs="Arial"/>
          <w:lang w:val="en-GB"/>
        </w:rPr>
        <w:t xml:space="preserve"> first had been useful as giving them something to work towards. </w:t>
      </w:r>
      <w:r w:rsidR="005041AE" w:rsidRPr="002A77EF">
        <w:rPr>
          <w:rFonts w:cs="Arial"/>
          <w:lang w:val="en-GB"/>
        </w:rPr>
        <w:t>The</w:t>
      </w:r>
      <w:r w:rsidRPr="002A77EF">
        <w:rPr>
          <w:rFonts w:cs="Arial"/>
          <w:lang w:val="en-GB"/>
        </w:rPr>
        <w:t xml:space="preserve"> </w:t>
      </w:r>
      <w:r w:rsidR="005041AE" w:rsidRPr="002A77EF">
        <w:rPr>
          <w:rFonts w:cs="Arial"/>
          <w:lang w:val="en-GB"/>
        </w:rPr>
        <w:t xml:space="preserve">ordering of the </w:t>
      </w:r>
      <w:r w:rsidRPr="002A77EF">
        <w:rPr>
          <w:rFonts w:cs="Arial"/>
          <w:lang w:val="en-GB"/>
        </w:rPr>
        <w:t>task</w:t>
      </w:r>
      <w:r w:rsidR="005041AE" w:rsidRPr="002A77EF">
        <w:rPr>
          <w:rFonts w:cs="Arial"/>
          <w:lang w:val="en-GB"/>
        </w:rPr>
        <w:t>s</w:t>
      </w:r>
      <w:r w:rsidRPr="002A77EF">
        <w:rPr>
          <w:rFonts w:cs="Arial"/>
          <w:lang w:val="en-GB"/>
        </w:rPr>
        <w:t xml:space="preserve"> had prompted thought about order and difficulty as intended, but </w:t>
      </w:r>
      <w:r w:rsidR="005041AE" w:rsidRPr="002A77EF">
        <w:rPr>
          <w:rFonts w:cs="Arial"/>
          <w:lang w:val="en-GB"/>
        </w:rPr>
        <w:t>it had been</w:t>
      </w:r>
      <w:r w:rsidRPr="002A77EF">
        <w:rPr>
          <w:rFonts w:cs="Arial"/>
          <w:lang w:val="en-GB"/>
        </w:rPr>
        <w:t xml:space="preserve"> hoped that more of them would be specific about</w:t>
      </w:r>
      <w:r w:rsidR="005041AE" w:rsidRPr="002A77EF">
        <w:rPr>
          <w:rFonts w:cs="Arial"/>
          <w:lang w:val="en-GB"/>
        </w:rPr>
        <w:t xml:space="preserve"> exactly</w:t>
      </w:r>
      <w:r w:rsidRPr="002A77EF">
        <w:rPr>
          <w:rFonts w:cs="Arial"/>
          <w:lang w:val="en-GB"/>
        </w:rPr>
        <w:t xml:space="preserve"> how variation in the grids had prompted changes in levels of generality</w:t>
      </w:r>
      <w:r w:rsidR="000C2E1C">
        <w:rPr>
          <w:rFonts w:cs="Arial"/>
          <w:lang w:val="en-GB"/>
        </w:rPr>
        <w:t xml:space="preserve"> (see below)</w:t>
      </w:r>
      <w:r w:rsidRPr="002A77EF">
        <w:rPr>
          <w:rFonts w:cs="Arial"/>
          <w:lang w:val="en-GB"/>
        </w:rPr>
        <w:t>.</w:t>
      </w:r>
      <w:r w:rsidR="005F61EB">
        <w:rPr>
          <w:rFonts w:cs="Arial"/>
          <w:lang w:val="en-GB"/>
        </w:rPr>
        <w:t xml:space="preserve"> </w:t>
      </w:r>
      <w:r w:rsidR="005041AE" w:rsidRPr="002A77EF">
        <w:rPr>
          <w:rFonts w:cs="Arial"/>
          <w:lang w:val="en-GB"/>
        </w:rPr>
        <w:t>However</w:t>
      </w:r>
      <w:r w:rsidRPr="002A77EF">
        <w:rPr>
          <w:rFonts w:cs="Arial"/>
          <w:lang w:val="en-GB"/>
        </w:rPr>
        <w:t xml:space="preserve">, this would </w:t>
      </w:r>
      <w:r w:rsidR="005041AE" w:rsidRPr="002A77EF">
        <w:rPr>
          <w:rFonts w:cs="Arial"/>
          <w:lang w:val="en-GB"/>
        </w:rPr>
        <w:t>have been</w:t>
      </w:r>
      <w:r w:rsidRPr="002A77EF">
        <w:rPr>
          <w:rFonts w:cs="Arial"/>
          <w:lang w:val="en-GB"/>
        </w:rPr>
        <w:t xml:space="preserve"> a new idea for them, and probably not one that is discussed with other teachers in school, and it would be sophisticated to be able to grasp this connection and also become articulate about it immediately after the experience.</w:t>
      </w:r>
    </w:p>
    <w:p w:rsidR="00425DFD" w:rsidRDefault="00425DFD" w:rsidP="00425DFD">
      <w:pPr>
        <w:spacing w:after="0" w:line="240" w:lineRule="auto"/>
        <w:rPr>
          <w:rFonts w:cs="Arial"/>
          <w:b/>
          <w:lang w:val="en-GB"/>
        </w:rPr>
      </w:pPr>
    </w:p>
    <w:p w:rsidR="00B00352" w:rsidRPr="00425DFD" w:rsidRDefault="00B00352" w:rsidP="00B00352">
      <w:pPr>
        <w:rPr>
          <w:rFonts w:cs="Arial"/>
          <w:b/>
          <w:lang w:val="en-GB"/>
        </w:rPr>
      </w:pPr>
      <w:r w:rsidRPr="00425DFD">
        <w:rPr>
          <w:rFonts w:cs="Arial"/>
          <w:b/>
          <w:lang w:val="en-GB"/>
        </w:rPr>
        <w:t>Personal choice of examples</w:t>
      </w:r>
    </w:p>
    <w:p w:rsidR="00B00352" w:rsidRPr="002A77EF" w:rsidRDefault="00B00352" w:rsidP="00B00352">
      <w:pPr>
        <w:rPr>
          <w:b/>
        </w:rPr>
      </w:pPr>
      <w:r w:rsidRPr="002A77EF">
        <w:rPr>
          <w:rFonts w:cs="Arial"/>
          <w:lang w:val="en-GB"/>
        </w:rPr>
        <w:t xml:space="preserve">11 </w:t>
      </w:r>
      <w:r w:rsidR="00425DFD">
        <w:rPr>
          <w:rFonts w:cs="Arial"/>
          <w:lang w:val="en-GB"/>
        </w:rPr>
        <w:t>prospective teachers</w:t>
      </w:r>
      <w:r w:rsidR="00425DFD" w:rsidRPr="002A77EF">
        <w:rPr>
          <w:rFonts w:cs="Arial"/>
          <w:lang w:val="en-GB"/>
        </w:rPr>
        <w:t xml:space="preserve"> </w:t>
      </w:r>
      <w:r w:rsidRPr="002A77EF">
        <w:rPr>
          <w:rFonts w:cs="Arial"/>
          <w:lang w:val="en-GB"/>
        </w:rPr>
        <w:t xml:space="preserve">mentioned the importance of </w:t>
      </w:r>
      <w:r w:rsidRPr="002A77EF">
        <w:rPr>
          <w:rFonts w:cs="Arial"/>
          <w:i/>
          <w:lang w:val="en-GB"/>
        </w:rPr>
        <w:t>personal choice of examples</w:t>
      </w:r>
      <w:r w:rsidRPr="002A77EF">
        <w:rPr>
          <w:rFonts w:cs="Arial"/>
          <w:lang w:val="en-GB"/>
        </w:rPr>
        <w:t xml:space="preserve"> as a means of differentiation: “allowing all to get something out of the task”. They thought variety was cognitively helpful because neighbours would then have different ‘concept images’ (</w:t>
      </w:r>
      <w:r w:rsidRPr="00D51960">
        <w:rPr>
          <w:rFonts w:cs="Arial"/>
          <w:lang w:val="en-GB"/>
        </w:rPr>
        <w:t>Tall</w:t>
      </w:r>
      <w:r w:rsidR="0097323F">
        <w:rPr>
          <w:rFonts w:cs="Arial"/>
          <w:lang w:val="en-GB"/>
        </w:rPr>
        <w:t xml:space="preserve"> &amp; </w:t>
      </w:r>
      <w:proofErr w:type="spellStart"/>
      <w:r w:rsidR="0097323F">
        <w:rPr>
          <w:rFonts w:cs="Arial"/>
          <w:lang w:val="en-GB"/>
        </w:rPr>
        <w:t>Vinner</w:t>
      </w:r>
      <w:proofErr w:type="spellEnd"/>
      <w:r w:rsidR="0097323F">
        <w:rPr>
          <w:rFonts w:cs="Arial"/>
          <w:lang w:val="en-GB"/>
        </w:rPr>
        <w:t xml:space="preserve"> 1981</w:t>
      </w:r>
      <w:r w:rsidRPr="002A77EF">
        <w:rPr>
          <w:rFonts w:cs="Arial"/>
          <w:lang w:val="en-GB"/>
        </w:rPr>
        <w:t>) and insight could be gained through discussion of different cases. Such comparisons between cases</w:t>
      </w:r>
      <w:r w:rsidRPr="002A77EF">
        <w:t xml:space="preserve"> highlight the critical, non-obvious, features of relations.  9 further </w:t>
      </w:r>
      <w:r w:rsidR="00710C36">
        <w:t>responses</w:t>
      </w:r>
      <w:r w:rsidR="00425DFD" w:rsidRPr="002A77EF">
        <w:t xml:space="preserve"> </w:t>
      </w:r>
      <w:r w:rsidRPr="002A77EF">
        <w:t xml:space="preserve">also mentioned personal choice of examples but </w:t>
      </w:r>
      <w:proofErr w:type="spellStart"/>
      <w:r w:rsidRPr="002A77EF">
        <w:t>emphasised</w:t>
      </w:r>
      <w:proofErr w:type="spellEnd"/>
      <w:r w:rsidRPr="002A77EF">
        <w:t xml:space="preserve"> affective rather than cognitive advantages: choice gave ‘ownership’ and hence improved engagement.</w:t>
      </w:r>
    </w:p>
    <w:p w:rsidR="00B00352" w:rsidRPr="002A77EF" w:rsidRDefault="005041AE" w:rsidP="00B00352">
      <w:pPr>
        <w:rPr>
          <w:b/>
        </w:rPr>
      </w:pPr>
      <w:r w:rsidRPr="002A77EF">
        <w:t>The design decision had been</w:t>
      </w:r>
      <w:r w:rsidR="00B00352" w:rsidRPr="002A77EF">
        <w:t xml:space="preserve"> to show how choice could aid motivation, but </w:t>
      </w:r>
      <w:r w:rsidRPr="002A77EF">
        <w:t>without</w:t>
      </w:r>
      <w:r w:rsidR="00B00352" w:rsidRPr="002A77EF">
        <w:t xml:space="preserve"> it becom</w:t>
      </w:r>
      <w:r w:rsidRPr="002A77EF">
        <w:t>ing</w:t>
      </w:r>
      <w:r w:rsidR="00B00352" w:rsidRPr="002A77EF">
        <w:t xml:space="preserve"> a major focus of the session.  The cognitive advantage of comparing different cases</w:t>
      </w:r>
      <w:r w:rsidR="004022F3" w:rsidRPr="002A77EF">
        <w:t xml:space="preserve"> in element 2</w:t>
      </w:r>
      <w:r w:rsidR="00B00352" w:rsidRPr="002A77EF">
        <w:t xml:space="preserve"> had arisen through their own discussion and was not something </w:t>
      </w:r>
      <w:r w:rsidRPr="002A77EF">
        <w:t>that</w:t>
      </w:r>
      <w:r w:rsidR="00B00352" w:rsidRPr="002A77EF">
        <w:t xml:space="preserve"> had</w:t>
      </w:r>
      <w:r w:rsidRPr="002A77EF">
        <w:t xml:space="preserve"> been</w:t>
      </w:r>
      <w:r w:rsidR="00B00352" w:rsidRPr="002A77EF">
        <w:t xml:space="preserve"> anticipated, but will be incorporated in future use of the sequence.</w:t>
      </w:r>
    </w:p>
    <w:p w:rsidR="00425DFD" w:rsidRDefault="00425DFD" w:rsidP="00425DFD">
      <w:pPr>
        <w:spacing w:after="0" w:line="240" w:lineRule="auto"/>
        <w:rPr>
          <w:b/>
        </w:rPr>
      </w:pPr>
    </w:p>
    <w:p w:rsidR="00B00352" w:rsidRPr="002A77EF" w:rsidRDefault="00B00352" w:rsidP="00B00352">
      <w:pPr>
        <w:rPr>
          <w:b/>
        </w:rPr>
      </w:pPr>
      <w:r w:rsidRPr="00425DFD">
        <w:rPr>
          <w:b/>
        </w:rPr>
        <w:t>Explicit connections between task design</w:t>
      </w:r>
      <w:r w:rsidR="000C2E1C">
        <w:rPr>
          <w:b/>
        </w:rPr>
        <w:t xml:space="preserve">, </w:t>
      </w:r>
      <w:r w:rsidRPr="00425DFD">
        <w:rPr>
          <w:b/>
        </w:rPr>
        <w:t>questioning</w:t>
      </w:r>
      <w:r w:rsidR="000C2E1C">
        <w:rPr>
          <w:b/>
        </w:rPr>
        <w:t xml:space="preserve"> and mathematical activity</w:t>
      </w:r>
    </w:p>
    <w:p w:rsidR="00B00352" w:rsidRPr="002A77EF" w:rsidRDefault="00B00352" w:rsidP="00B00352">
      <w:pPr>
        <w:rPr>
          <w:b/>
        </w:rPr>
      </w:pPr>
      <w:r w:rsidRPr="002A77EF">
        <w:lastRenderedPageBreak/>
        <w:t xml:space="preserve">8 </w:t>
      </w:r>
      <w:r w:rsidR="00DC7594">
        <w:t>prospective teachers</w:t>
      </w:r>
      <w:r w:rsidR="00DC7594" w:rsidRPr="002A77EF">
        <w:t xml:space="preserve"> </w:t>
      </w:r>
      <w:r w:rsidRPr="002A77EF">
        <w:t xml:space="preserve">referred to </w:t>
      </w:r>
      <w:proofErr w:type="spellStart"/>
      <w:r w:rsidRPr="002A77EF">
        <w:t>recogni</w:t>
      </w:r>
      <w:r w:rsidR="00DC7594">
        <w:t>s</w:t>
      </w:r>
      <w:r w:rsidRPr="002A77EF">
        <w:t>ing</w:t>
      </w:r>
      <w:proofErr w:type="spellEnd"/>
      <w:r w:rsidRPr="002A77EF">
        <w:t xml:space="preserve"> that their own mathematical approaches changed during the </w:t>
      </w:r>
      <w:r w:rsidR="00BC7C4B">
        <w:t>session</w:t>
      </w:r>
      <w:r w:rsidR="00BC7C4B" w:rsidRPr="002A77EF">
        <w:t xml:space="preserve"> </w:t>
      </w:r>
      <w:r w:rsidRPr="002A77EF">
        <w:t>in response to features of the task design</w:t>
      </w:r>
      <w:r w:rsidR="000C2E1C">
        <w:t>, rather than the more general comments reported above</w:t>
      </w:r>
      <w:r w:rsidRPr="002A77EF">
        <w:t xml:space="preserve">; 6 of them mentioned the summary of intentions and that the </w:t>
      </w:r>
      <w:r w:rsidR="005041AE" w:rsidRPr="002A77EF">
        <w:t xml:space="preserve">intended </w:t>
      </w:r>
      <w:r w:rsidRPr="002A77EF">
        <w:t>effects matched their experience of doing the tasks; one said “the pedagogical explanation was useful and related to how the lesson unfolded”.  These remarks affirm the value of experiential learning</w:t>
      </w:r>
      <w:r w:rsidR="005041AE" w:rsidRPr="002A77EF">
        <w:t xml:space="preserve"> for teaching</w:t>
      </w:r>
      <w:r w:rsidRPr="002A77EF">
        <w:t>. These 8 also confirmed the value of explicitness in describing design decisions.</w:t>
      </w:r>
    </w:p>
    <w:p w:rsidR="00B00352" w:rsidRPr="002A77EF" w:rsidRDefault="000C2E1C" w:rsidP="00B00352">
      <w:pPr>
        <w:rPr>
          <w:b/>
        </w:rPr>
      </w:pPr>
      <w:r>
        <w:t xml:space="preserve">A further </w:t>
      </w:r>
      <w:r w:rsidR="00B00352" w:rsidRPr="002A77EF">
        <w:t xml:space="preserve">5 </w:t>
      </w:r>
      <w:r w:rsidR="00710C36">
        <w:t>responses</w:t>
      </w:r>
      <w:r w:rsidR="00DC7594" w:rsidRPr="002A77EF">
        <w:t xml:space="preserve"> </w:t>
      </w:r>
      <w:r w:rsidR="00B00352" w:rsidRPr="002A77EF">
        <w:t xml:space="preserve">mentioned that the way in which the questions forced them to think backwards from abstract to concrete, to reflect on what they had been doing and construct particular cases that fitted abstract observations. 3 of these mentioned the adaptations in </w:t>
      </w:r>
      <w:r w:rsidR="00D51960">
        <w:t>Watson’s</w:t>
      </w:r>
      <w:r w:rsidR="00D51960" w:rsidRPr="002A77EF">
        <w:t xml:space="preserve"> </w:t>
      </w:r>
      <w:r w:rsidR="00B00352" w:rsidRPr="002A77EF">
        <w:t>questions; the other 2 described the ‘backwards</w:t>
      </w:r>
      <w:r w:rsidR="001E6AA6" w:rsidRPr="002A77EF">
        <w:t>’</w:t>
      </w:r>
      <w:r w:rsidR="00B00352" w:rsidRPr="002A77EF">
        <w:t xml:space="preserve"> questions as ‘fun and increasing engagement’.</w:t>
      </w:r>
      <w:r w:rsidR="004A3613">
        <w:t xml:space="preserve"> </w:t>
      </w:r>
      <w:r w:rsidR="00B00352" w:rsidRPr="002A77EF">
        <w:t>W</w:t>
      </w:r>
      <w:r w:rsidR="005041AE" w:rsidRPr="002A77EF">
        <w:t>e were</w:t>
      </w:r>
      <w:r w:rsidR="00B00352" w:rsidRPr="002A77EF">
        <w:t xml:space="preserve"> pleased that 13</w:t>
      </w:r>
      <w:r w:rsidR="004A3613">
        <w:t xml:space="preserve"> in all</w:t>
      </w:r>
      <w:r w:rsidR="00B00352" w:rsidRPr="002A77EF">
        <w:t xml:space="preserve"> had made a connection between design and their own mathematical activity</w:t>
      </w:r>
      <w:r w:rsidR="004A3613">
        <w:t xml:space="preserve">. The use of the word ‘fun’ would need further investigation </w:t>
      </w:r>
      <w:r w:rsidR="00B00352" w:rsidRPr="002A77EF">
        <w:t>because it suggest</w:t>
      </w:r>
      <w:r w:rsidR="00495EE2">
        <w:t>s</w:t>
      </w:r>
      <w:r w:rsidR="00B00352" w:rsidRPr="002A77EF">
        <w:t xml:space="preserve"> that these </w:t>
      </w:r>
      <w:r w:rsidR="00DC7594">
        <w:t>prospective teacher</w:t>
      </w:r>
      <w:r w:rsidR="00B00352" w:rsidRPr="002A77EF">
        <w:t>s</w:t>
      </w:r>
      <w:r w:rsidR="004A3613">
        <w:t xml:space="preserve"> may not have </w:t>
      </w:r>
      <w:proofErr w:type="spellStart"/>
      <w:r w:rsidR="004A3613">
        <w:t>recognised</w:t>
      </w:r>
      <w:proofErr w:type="spellEnd"/>
      <w:r w:rsidR="00B00352" w:rsidRPr="002A77EF">
        <w:t xml:space="preserve"> </w:t>
      </w:r>
      <w:r w:rsidR="004A3613">
        <w:t xml:space="preserve">a </w:t>
      </w:r>
      <w:r w:rsidR="00B00352" w:rsidRPr="002A77EF">
        <w:t xml:space="preserve">shift from </w:t>
      </w:r>
      <w:proofErr w:type="spellStart"/>
      <w:r w:rsidR="004A3613">
        <w:t>generalising</w:t>
      </w:r>
      <w:proofErr w:type="spellEnd"/>
      <w:r w:rsidR="004A3613">
        <w:t xml:space="preserve"> in</w:t>
      </w:r>
      <w:r w:rsidR="00B00352" w:rsidRPr="002A77EF">
        <w:t xml:space="preserve"> unknown situation</w:t>
      </w:r>
      <w:r w:rsidR="004A3613">
        <w:t>s</w:t>
      </w:r>
      <w:r w:rsidR="00B00352" w:rsidRPr="002A77EF">
        <w:t xml:space="preserve"> to constructing examples and discussing implications.  </w:t>
      </w:r>
      <w:r w:rsidR="004A3613">
        <w:t xml:space="preserve">This shift may have produced a feeling of ‘fun’ but the mechanism by which it was brought about was cognitive rather than merely affective. </w:t>
      </w:r>
    </w:p>
    <w:p w:rsidR="00B00352" w:rsidRPr="002A77EF" w:rsidRDefault="00B00352" w:rsidP="00B00352">
      <w:pPr>
        <w:rPr>
          <w:b/>
        </w:rPr>
      </w:pPr>
    </w:p>
    <w:p w:rsidR="00DC7594" w:rsidRDefault="00DC7594" w:rsidP="00DC7594">
      <w:pPr>
        <w:pStyle w:val="Heading2"/>
        <w:rPr>
          <w:rFonts w:ascii="Calibri" w:hAnsi="Calibri"/>
          <w:sz w:val="22"/>
          <w:szCs w:val="22"/>
        </w:rPr>
      </w:pPr>
      <w:r>
        <w:rPr>
          <w:rFonts w:ascii="Calibri" w:hAnsi="Calibri"/>
          <w:sz w:val="22"/>
          <w:szCs w:val="22"/>
          <w:lang w:val="en-GB"/>
        </w:rPr>
        <w:t>ANALYSIS OF RESPONSES TO PROMPT 2: FUTURE PLANNING AND TEACHING</w:t>
      </w:r>
    </w:p>
    <w:p w:rsidR="00B00352" w:rsidRPr="002A77EF" w:rsidRDefault="00B00352" w:rsidP="00DC7594">
      <w:pPr>
        <w:pStyle w:val="Heading2"/>
        <w:rPr>
          <w:rFonts w:ascii="Calibri" w:hAnsi="Calibri"/>
          <w:sz w:val="22"/>
          <w:szCs w:val="22"/>
        </w:rPr>
      </w:pPr>
    </w:p>
    <w:p w:rsidR="00B00352" w:rsidRPr="002A77EF" w:rsidRDefault="00DC7594" w:rsidP="00B00352">
      <w:pPr>
        <w:rPr>
          <w:b/>
        </w:rPr>
      </w:pPr>
      <w:r>
        <w:t xml:space="preserve">Prompt 2 in </w:t>
      </w:r>
      <w:r w:rsidR="00B00352" w:rsidRPr="002A77EF">
        <w:t xml:space="preserve">the questionnaire asked about teaching intentions and was </w:t>
      </w:r>
      <w:proofErr w:type="spellStart"/>
      <w:r w:rsidR="00B00352" w:rsidRPr="002A77EF">
        <w:t>analysed</w:t>
      </w:r>
      <w:proofErr w:type="spellEnd"/>
      <w:r w:rsidR="00B00352" w:rsidRPr="002A77EF">
        <w:t xml:space="preserve"> similarly.</w:t>
      </w:r>
      <w:r w:rsidR="001C5A13">
        <w:t xml:space="preserve"> </w:t>
      </w:r>
    </w:p>
    <w:p w:rsidR="00B00352" w:rsidRPr="002A77EF" w:rsidRDefault="00B00352" w:rsidP="00B00352">
      <w:pPr>
        <w:rPr>
          <w:b/>
        </w:rPr>
      </w:pPr>
      <w:r w:rsidRPr="002A77EF">
        <w:t xml:space="preserve">16 said they would think more about </w:t>
      </w:r>
      <w:r w:rsidRPr="002A77EF">
        <w:rPr>
          <w:i/>
        </w:rPr>
        <w:t>gradients of difficulty</w:t>
      </w:r>
      <w:r w:rsidRPr="002A77EF">
        <w:t xml:space="preserve"> and order of tasks in future. Of these 3 did not elaborate further but 4 talked about focusing on relations and patterns; 4 talked of starting with a harder task so that ‘there is always a higher peak’.  5 students noticed that extension tasks were always more complex versions of what everyone was doing.</w:t>
      </w:r>
    </w:p>
    <w:p w:rsidR="00B00352" w:rsidRPr="002A77EF" w:rsidRDefault="00B00352" w:rsidP="00B00352">
      <w:pPr>
        <w:rPr>
          <w:b/>
        </w:rPr>
      </w:pPr>
      <w:r w:rsidRPr="002A77EF">
        <w:t xml:space="preserve">14 mentioned the importance of </w:t>
      </w:r>
      <w:r w:rsidRPr="002A77EF">
        <w:rPr>
          <w:i/>
        </w:rPr>
        <w:t>controlling variation</w:t>
      </w:r>
      <w:r w:rsidRPr="002A77EF">
        <w:t xml:space="preserve">, either to encourage generalization, to be clear about purpose, and to allow students to ‘use their own strategies and methods at every stage while following the structure of the lesson’.  One </w:t>
      </w:r>
      <w:r w:rsidR="00710C36">
        <w:t>person</w:t>
      </w:r>
      <w:r w:rsidRPr="002A77EF">
        <w:t xml:space="preserve"> said that using the same resource, but slightly different, encourages a particular way of thinking.</w:t>
      </w:r>
    </w:p>
    <w:p w:rsidR="00B00352" w:rsidRPr="002A77EF" w:rsidRDefault="00B00352" w:rsidP="00B00352">
      <w:pPr>
        <w:rPr>
          <w:b/>
        </w:rPr>
      </w:pPr>
      <w:r w:rsidRPr="002A77EF">
        <w:t xml:space="preserve">14 </w:t>
      </w:r>
      <w:r w:rsidR="00DC7594">
        <w:t>prospective teacher</w:t>
      </w:r>
      <w:r w:rsidRPr="002A77EF">
        <w:t xml:space="preserve">s talked about giving </w:t>
      </w:r>
      <w:r w:rsidRPr="002A77EF">
        <w:rPr>
          <w:i/>
        </w:rPr>
        <w:t>choice and ownership</w:t>
      </w:r>
      <w:r w:rsidRPr="002A77EF">
        <w:t xml:space="preserve"> to generate variety in the classroom. </w:t>
      </w:r>
    </w:p>
    <w:p w:rsidR="007877AF" w:rsidRPr="002A77EF" w:rsidRDefault="00B00352" w:rsidP="00B00352">
      <w:pPr>
        <w:rPr>
          <w:b/>
        </w:rPr>
      </w:pPr>
      <w:r w:rsidRPr="002A77EF">
        <w:t xml:space="preserve">3 mentioned the importance of having ‘interesting’ ways to use </w:t>
      </w:r>
      <w:r w:rsidRPr="002A77EF">
        <w:rPr>
          <w:i/>
        </w:rPr>
        <w:t>algebra as generalizing relationships,</w:t>
      </w:r>
      <w:r w:rsidRPr="002A77EF">
        <w:t xml:space="preserve"> and one talked about how </w:t>
      </w:r>
      <w:r w:rsidRPr="002A77EF">
        <w:rPr>
          <w:i/>
        </w:rPr>
        <w:t>turning the task round</w:t>
      </w:r>
      <w:r w:rsidRPr="002A77EF">
        <w:t xml:space="preserve"> led to seeing where a ‘rule’ had come from.</w:t>
      </w:r>
    </w:p>
    <w:p w:rsidR="00DA2F4D" w:rsidRDefault="00DA2F4D" w:rsidP="00D51960">
      <w:pPr>
        <w:spacing w:after="0" w:line="240" w:lineRule="auto"/>
      </w:pPr>
    </w:p>
    <w:p w:rsidR="00F8382D" w:rsidRDefault="00DA2F4D" w:rsidP="00B00352">
      <w:r>
        <w:rPr>
          <w:i/>
        </w:rPr>
        <w:t>Table 4</w:t>
      </w:r>
      <w:r w:rsidRPr="008204CA">
        <w:rPr>
          <w:i/>
        </w:rPr>
        <w:t xml:space="preserve">: Coding of </w:t>
      </w:r>
      <w:r>
        <w:rPr>
          <w:i/>
        </w:rPr>
        <w:t>prospective teachers’</w:t>
      </w:r>
      <w:r w:rsidRPr="008204CA">
        <w:rPr>
          <w:i/>
        </w:rPr>
        <w:t xml:space="preserve"> responses to Prompt</w:t>
      </w:r>
      <w:r>
        <w:rPr>
          <w:i/>
        </w:rPr>
        <w:t>s</w:t>
      </w:r>
      <w:r w:rsidRPr="008204CA">
        <w:rPr>
          <w:i/>
        </w:rPr>
        <w:t xml:space="preserve"> 1</w:t>
      </w:r>
      <w:r>
        <w:rPr>
          <w:i/>
        </w:rPr>
        <w:t xml:space="preserve"> and 2 in the second task sequence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8"/>
        <w:gridCol w:w="1890"/>
      </w:tblGrid>
      <w:tr w:rsidR="00DA2F4D" w:rsidTr="00DA2F4D">
        <w:tc>
          <w:tcPr>
            <w:tcW w:w="6948" w:type="dxa"/>
            <w:shd w:val="pct15" w:color="auto" w:fill="auto"/>
          </w:tcPr>
          <w:p w:rsidR="00F8382D" w:rsidRDefault="00F8382D" w:rsidP="00DA2F4D">
            <w:pPr>
              <w:spacing w:before="120" w:after="120" w:line="240" w:lineRule="auto"/>
            </w:pPr>
            <w:r>
              <w:t>Key features</w:t>
            </w:r>
            <w:r w:rsidR="000C2E1C">
              <w:t xml:space="preserve"> of sequence</w:t>
            </w:r>
            <w:r w:rsidR="00DA2F4D">
              <w:t xml:space="preserve"> (Prompt 1)</w:t>
            </w:r>
          </w:p>
        </w:tc>
        <w:tc>
          <w:tcPr>
            <w:tcW w:w="1890" w:type="dxa"/>
            <w:shd w:val="pct15" w:color="auto" w:fill="auto"/>
          </w:tcPr>
          <w:p w:rsidR="00F8382D" w:rsidRDefault="00EC54D9" w:rsidP="00DA2F4D">
            <w:pPr>
              <w:spacing w:before="120" w:after="120" w:line="240" w:lineRule="auto"/>
            </w:pPr>
            <w:r>
              <w:t>Frequencies</w:t>
            </w:r>
            <w:r w:rsidDel="00DA2F4D">
              <w:t xml:space="preserve"> </w:t>
            </w:r>
          </w:p>
        </w:tc>
      </w:tr>
      <w:tr w:rsidR="00DA2F4D" w:rsidTr="00DA2F4D">
        <w:tc>
          <w:tcPr>
            <w:tcW w:w="6948" w:type="dxa"/>
          </w:tcPr>
          <w:p w:rsidR="00F8382D" w:rsidRDefault="00F8382D" w:rsidP="00DA2F4D">
            <w:pPr>
              <w:spacing w:before="120" w:after="120" w:line="240" w:lineRule="auto"/>
            </w:pPr>
            <w:r>
              <w:t>Gradient of difficulty</w:t>
            </w:r>
          </w:p>
        </w:tc>
        <w:tc>
          <w:tcPr>
            <w:tcW w:w="1890" w:type="dxa"/>
          </w:tcPr>
          <w:p w:rsidR="00F8382D" w:rsidRDefault="00F8382D" w:rsidP="00666E70">
            <w:pPr>
              <w:spacing w:before="120" w:after="120" w:line="240" w:lineRule="auto"/>
              <w:jc w:val="center"/>
            </w:pPr>
            <w:r>
              <w:t>23</w:t>
            </w:r>
          </w:p>
        </w:tc>
      </w:tr>
      <w:tr w:rsidR="00DA2F4D" w:rsidTr="00DA2F4D">
        <w:tc>
          <w:tcPr>
            <w:tcW w:w="6948" w:type="dxa"/>
          </w:tcPr>
          <w:p w:rsidR="00F8382D" w:rsidRDefault="00F8382D" w:rsidP="00DA2F4D">
            <w:pPr>
              <w:spacing w:before="120" w:after="120" w:line="240" w:lineRule="auto"/>
            </w:pPr>
            <w:r>
              <w:lastRenderedPageBreak/>
              <w:t>Personal choice</w:t>
            </w:r>
          </w:p>
        </w:tc>
        <w:tc>
          <w:tcPr>
            <w:tcW w:w="1890" w:type="dxa"/>
          </w:tcPr>
          <w:p w:rsidR="00F8382D" w:rsidRDefault="00F8382D" w:rsidP="00666E70">
            <w:pPr>
              <w:spacing w:before="120" w:after="120" w:line="240" w:lineRule="auto"/>
              <w:jc w:val="center"/>
            </w:pPr>
            <w:r>
              <w:t>20</w:t>
            </w:r>
          </w:p>
        </w:tc>
      </w:tr>
      <w:tr w:rsidR="00DA2F4D" w:rsidTr="00EC54D9">
        <w:tc>
          <w:tcPr>
            <w:tcW w:w="6948" w:type="dxa"/>
            <w:tcBorders>
              <w:bottom w:val="single" w:sz="4" w:space="0" w:color="000000"/>
            </w:tcBorders>
          </w:tcPr>
          <w:p w:rsidR="00F8382D" w:rsidRDefault="00F8382D" w:rsidP="00DA2F4D">
            <w:pPr>
              <w:spacing w:before="120" w:after="120" w:line="240" w:lineRule="auto"/>
            </w:pPr>
            <w:r>
              <w:t>Connections between task design and mathematical activity</w:t>
            </w:r>
          </w:p>
        </w:tc>
        <w:tc>
          <w:tcPr>
            <w:tcW w:w="1890" w:type="dxa"/>
            <w:tcBorders>
              <w:bottom w:val="single" w:sz="4" w:space="0" w:color="000000"/>
            </w:tcBorders>
          </w:tcPr>
          <w:p w:rsidR="00F8382D" w:rsidRDefault="00F8382D" w:rsidP="00666E70">
            <w:pPr>
              <w:spacing w:before="120" w:after="120" w:line="240" w:lineRule="auto"/>
              <w:jc w:val="center"/>
            </w:pPr>
            <w:r>
              <w:t>13</w:t>
            </w:r>
          </w:p>
        </w:tc>
      </w:tr>
      <w:tr w:rsidR="00DA2F4D" w:rsidTr="00EC54D9">
        <w:tc>
          <w:tcPr>
            <w:tcW w:w="6948" w:type="dxa"/>
            <w:shd w:val="pct15" w:color="auto" w:fill="auto"/>
          </w:tcPr>
          <w:p w:rsidR="00F8382D" w:rsidRDefault="000C2E1C" w:rsidP="00DA2F4D">
            <w:pPr>
              <w:spacing w:before="120" w:after="120" w:line="240" w:lineRule="auto"/>
            </w:pPr>
            <w:r>
              <w:t>Anticipated use</w:t>
            </w:r>
            <w:r w:rsidR="00DA2F4D">
              <w:t xml:space="preserve"> (Prompt 2)</w:t>
            </w:r>
          </w:p>
        </w:tc>
        <w:tc>
          <w:tcPr>
            <w:tcW w:w="1890" w:type="dxa"/>
            <w:shd w:val="pct15" w:color="auto" w:fill="auto"/>
          </w:tcPr>
          <w:p w:rsidR="00F8382D" w:rsidRDefault="00EC54D9" w:rsidP="00DA2F4D">
            <w:pPr>
              <w:spacing w:before="120" w:after="120" w:line="240" w:lineRule="auto"/>
            </w:pPr>
            <w:r>
              <w:t>Frequencies</w:t>
            </w:r>
          </w:p>
        </w:tc>
      </w:tr>
      <w:tr w:rsidR="00DA2F4D" w:rsidTr="00DA2F4D">
        <w:tc>
          <w:tcPr>
            <w:tcW w:w="6948" w:type="dxa"/>
          </w:tcPr>
          <w:p w:rsidR="00F8382D" w:rsidRDefault="000C2E1C" w:rsidP="00DA2F4D">
            <w:pPr>
              <w:spacing w:before="120" w:after="120" w:line="240" w:lineRule="auto"/>
            </w:pPr>
            <w:r>
              <w:t>G</w:t>
            </w:r>
            <w:r w:rsidR="00F8382D">
              <w:t>radients of difficulty</w:t>
            </w:r>
          </w:p>
        </w:tc>
        <w:tc>
          <w:tcPr>
            <w:tcW w:w="1890" w:type="dxa"/>
          </w:tcPr>
          <w:p w:rsidR="00F8382D" w:rsidRDefault="00F8382D" w:rsidP="00666E70">
            <w:pPr>
              <w:spacing w:before="120" w:after="120" w:line="240" w:lineRule="auto"/>
              <w:jc w:val="center"/>
            </w:pPr>
            <w:r>
              <w:t>16</w:t>
            </w:r>
          </w:p>
        </w:tc>
      </w:tr>
      <w:tr w:rsidR="00DA2F4D" w:rsidTr="00DA2F4D">
        <w:tc>
          <w:tcPr>
            <w:tcW w:w="6948" w:type="dxa"/>
          </w:tcPr>
          <w:p w:rsidR="00F8382D" w:rsidRDefault="00F8382D" w:rsidP="00DA2F4D">
            <w:pPr>
              <w:spacing w:before="120" w:after="120" w:line="240" w:lineRule="auto"/>
            </w:pPr>
            <w:r>
              <w:t>Controlling variation</w:t>
            </w:r>
          </w:p>
        </w:tc>
        <w:tc>
          <w:tcPr>
            <w:tcW w:w="1890" w:type="dxa"/>
          </w:tcPr>
          <w:p w:rsidR="00F8382D" w:rsidRDefault="00F8382D" w:rsidP="00666E70">
            <w:pPr>
              <w:spacing w:before="120" w:after="120" w:line="240" w:lineRule="auto"/>
              <w:jc w:val="center"/>
            </w:pPr>
            <w:r>
              <w:t>14</w:t>
            </w:r>
          </w:p>
        </w:tc>
      </w:tr>
      <w:tr w:rsidR="00DA2F4D" w:rsidTr="00DA2F4D">
        <w:tc>
          <w:tcPr>
            <w:tcW w:w="6948" w:type="dxa"/>
          </w:tcPr>
          <w:p w:rsidR="00F8382D" w:rsidRDefault="00F8382D" w:rsidP="00DA2F4D">
            <w:pPr>
              <w:spacing w:before="120" w:after="120" w:line="240" w:lineRule="auto"/>
            </w:pPr>
            <w:r>
              <w:t>Choice and ownership</w:t>
            </w:r>
          </w:p>
        </w:tc>
        <w:tc>
          <w:tcPr>
            <w:tcW w:w="1890" w:type="dxa"/>
          </w:tcPr>
          <w:p w:rsidR="00F8382D" w:rsidRDefault="00F8382D" w:rsidP="00666E70">
            <w:pPr>
              <w:spacing w:before="120" w:after="120" w:line="240" w:lineRule="auto"/>
              <w:jc w:val="center"/>
            </w:pPr>
            <w:r>
              <w:t>14</w:t>
            </w:r>
          </w:p>
        </w:tc>
      </w:tr>
      <w:tr w:rsidR="00DA2F4D" w:rsidTr="00DA2F4D">
        <w:tc>
          <w:tcPr>
            <w:tcW w:w="6948" w:type="dxa"/>
          </w:tcPr>
          <w:p w:rsidR="00F8382D" w:rsidRDefault="00F8382D" w:rsidP="00DA2F4D">
            <w:pPr>
              <w:spacing w:before="120" w:after="120" w:line="240" w:lineRule="auto"/>
            </w:pPr>
            <w:r>
              <w:t>Interesting ways to use algebra</w:t>
            </w:r>
          </w:p>
        </w:tc>
        <w:tc>
          <w:tcPr>
            <w:tcW w:w="1890" w:type="dxa"/>
          </w:tcPr>
          <w:p w:rsidR="00F8382D" w:rsidRDefault="00F8382D" w:rsidP="00666E70">
            <w:pPr>
              <w:spacing w:before="120" w:after="120" w:line="240" w:lineRule="auto"/>
              <w:jc w:val="center"/>
            </w:pPr>
            <w:r>
              <w:t>3</w:t>
            </w:r>
          </w:p>
        </w:tc>
      </w:tr>
    </w:tbl>
    <w:p w:rsidR="00136ED8" w:rsidRDefault="00136ED8" w:rsidP="00F8382D"/>
    <w:p w:rsidR="00136ED8" w:rsidRDefault="00136ED8" w:rsidP="00D51960">
      <w:pPr>
        <w:spacing w:after="0" w:line="240" w:lineRule="auto"/>
      </w:pPr>
    </w:p>
    <w:p w:rsidR="00F8382D" w:rsidRPr="002A77EF" w:rsidRDefault="00136ED8" w:rsidP="00B00352">
      <w:pPr>
        <w:rPr>
          <w:b/>
        </w:rPr>
      </w:pPr>
      <w:r>
        <w:rPr>
          <w:b/>
        </w:rPr>
        <w:t>Connections between questionnaire responses and task design</w:t>
      </w:r>
    </w:p>
    <w:p w:rsidR="00B00352" w:rsidRPr="002A77EF" w:rsidRDefault="005041AE" w:rsidP="00B00352">
      <w:pPr>
        <w:rPr>
          <w:rFonts w:cs="Arial"/>
          <w:b/>
          <w:lang w:val="en-GB"/>
        </w:rPr>
      </w:pPr>
      <w:r w:rsidRPr="002A77EF">
        <w:rPr>
          <w:rFonts w:cs="Arial"/>
          <w:lang w:val="en-GB"/>
        </w:rPr>
        <w:t>A</w:t>
      </w:r>
      <w:r w:rsidR="00DC7594">
        <w:rPr>
          <w:rFonts w:cs="Arial"/>
          <w:lang w:val="en-GB"/>
        </w:rPr>
        <w:t xml:space="preserve"> </w:t>
      </w:r>
      <w:r w:rsidR="00B00352" w:rsidRPr="002A77EF">
        <w:rPr>
          <w:rFonts w:cs="Arial"/>
          <w:lang w:val="en-GB"/>
        </w:rPr>
        <w:t xml:space="preserve">main aim </w:t>
      </w:r>
      <w:r w:rsidR="00030AE9">
        <w:rPr>
          <w:rFonts w:cs="Arial"/>
          <w:lang w:val="en-GB"/>
        </w:rPr>
        <w:t xml:space="preserve">in the second task sequence </w:t>
      </w:r>
      <w:r w:rsidR="00B00352" w:rsidRPr="002A77EF">
        <w:rPr>
          <w:rFonts w:cs="Arial"/>
          <w:lang w:val="en-GB"/>
        </w:rPr>
        <w:t xml:space="preserve">had been for </w:t>
      </w:r>
      <w:r w:rsidR="00DC7594">
        <w:rPr>
          <w:rFonts w:cs="Arial"/>
          <w:lang w:val="en-GB"/>
        </w:rPr>
        <w:t>prospective teacher</w:t>
      </w:r>
      <w:r w:rsidR="00B00352" w:rsidRPr="002A77EF">
        <w:rPr>
          <w:rFonts w:cs="Arial"/>
          <w:lang w:val="en-GB"/>
        </w:rPr>
        <w:t xml:space="preserve">s to experience a form of questioning that scaffolds conceptualisation at a higher level, making the </w:t>
      </w:r>
      <w:r w:rsidR="00136ED8">
        <w:rPr>
          <w:rFonts w:cs="Arial"/>
          <w:lang w:val="en-GB"/>
        </w:rPr>
        <w:t>‘</w:t>
      </w:r>
      <w:r w:rsidR="00B00352" w:rsidRPr="002A77EF">
        <w:rPr>
          <w:rFonts w:cs="Arial"/>
          <w:lang w:val="en-GB"/>
        </w:rPr>
        <w:t>grid-shape</w:t>
      </w:r>
      <w:r w:rsidR="00136ED8">
        <w:rPr>
          <w:rFonts w:cs="Arial"/>
          <w:lang w:val="en-GB"/>
        </w:rPr>
        <w:t>’</w:t>
      </w:r>
      <w:r w:rsidR="00B00352" w:rsidRPr="002A77EF">
        <w:rPr>
          <w:rFonts w:cs="Arial"/>
          <w:lang w:val="en-GB"/>
        </w:rPr>
        <w:t xml:space="preserve"> partnership into a new mathematical object by asking questions that focus on the relationship rather than on particular grids or shapes separately. To a great extent this had been successful, in that </w:t>
      </w:r>
      <w:r w:rsidR="00710C36">
        <w:rPr>
          <w:rFonts w:cs="Arial"/>
          <w:lang w:val="en-GB"/>
        </w:rPr>
        <w:t>they</w:t>
      </w:r>
      <w:r w:rsidR="00B00352" w:rsidRPr="002A77EF">
        <w:rPr>
          <w:rFonts w:cs="Arial"/>
          <w:lang w:val="en-GB"/>
        </w:rPr>
        <w:t xml:space="preserve"> reported that something had changed for them because of the task and question construction. They mainly recognised features of the work they had been asked to do and the potential power of variation and generalisation within that work. The importance of choosing examples well and thinking about sets of examples </w:t>
      </w:r>
      <w:r w:rsidR="00030AE9">
        <w:rPr>
          <w:rFonts w:cs="Arial"/>
          <w:lang w:val="en-GB"/>
        </w:rPr>
        <w:t>seemed to be</w:t>
      </w:r>
      <w:r w:rsidR="00030AE9" w:rsidRPr="002A77EF">
        <w:rPr>
          <w:rFonts w:cs="Arial"/>
          <w:lang w:val="en-GB"/>
        </w:rPr>
        <w:t xml:space="preserve"> </w:t>
      </w:r>
      <w:r w:rsidR="00B00352" w:rsidRPr="002A77EF">
        <w:rPr>
          <w:rFonts w:cs="Arial"/>
          <w:lang w:val="en-GB"/>
        </w:rPr>
        <w:t xml:space="preserve">well understood. The personal engagement they had felt by choosing a shape made a big impression and engagement is an important issue in their teaching.  </w:t>
      </w:r>
    </w:p>
    <w:p w:rsidR="00B00352" w:rsidRPr="002A77EF" w:rsidRDefault="00B00352" w:rsidP="00B00352">
      <w:pPr>
        <w:rPr>
          <w:rFonts w:cs="Arial"/>
          <w:b/>
          <w:lang w:val="en-GB"/>
        </w:rPr>
      </w:pPr>
      <w:r w:rsidRPr="002A77EF">
        <w:rPr>
          <w:rFonts w:cs="Arial"/>
          <w:lang w:val="en-GB"/>
        </w:rPr>
        <w:t>It is also heartening that some of the feedback did mention the</w:t>
      </w:r>
      <w:r w:rsidR="000166D4">
        <w:rPr>
          <w:rFonts w:cs="Arial"/>
          <w:lang w:val="en-GB"/>
        </w:rPr>
        <w:t xml:space="preserve"> specific</w:t>
      </w:r>
      <w:r w:rsidRPr="002A77EF">
        <w:rPr>
          <w:rFonts w:cs="Arial"/>
          <w:lang w:val="en-GB"/>
        </w:rPr>
        <w:t xml:space="preserve"> abstraction processes that </w:t>
      </w:r>
      <w:r w:rsidR="005041AE" w:rsidRPr="002A77EF">
        <w:rPr>
          <w:rFonts w:cs="Arial"/>
          <w:lang w:val="en-GB"/>
        </w:rPr>
        <w:t>were intended in the design</w:t>
      </w:r>
      <w:r w:rsidRPr="002A77EF">
        <w:rPr>
          <w:rFonts w:cs="Arial"/>
          <w:lang w:val="en-GB"/>
        </w:rPr>
        <w:t xml:space="preserve">.  But given that most </w:t>
      </w:r>
      <w:r w:rsidR="00DC7594">
        <w:rPr>
          <w:rFonts w:cs="Arial"/>
          <w:lang w:val="en-GB"/>
        </w:rPr>
        <w:t>prospective teacher</w:t>
      </w:r>
      <w:r w:rsidR="005041AE" w:rsidRPr="002A77EF">
        <w:rPr>
          <w:rFonts w:cs="Arial"/>
          <w:lang w:val="en-GB"/>
        </w:rPr>
        <w:t xml:space="preserve">s </w:t>
      </w:r>
      <w:r w:rsidRPr="002A77EF">
        <w:rPr>
          <w:rFonts w:cs="Arial"/>
          <w:lang w:val="en-GB"/>
        </w:rPr>
        <w:t xml:space="preserve">had indeed changed from lower levels of conceptualisation to higher levels as the task sequence progressed, and given that </w:t>
      </w:r>
      <w:r w:rsidR="005041AE" w:rsidRPr="002A77EF">
        <w:rPr>
          <w:rFonts w:cs="Arial"/>
          <w:lang w:val="en-GB"/>
        </w:rPr>
        <w:t>it had been</w:t>
      </w:r>
      <w:r w:rsidRPr="002A77EF">
        <w:rPr>
          <w:rFonts w:cs="Arial"/>
          <w:lang w:val="en-GB"/>
        </w:rPr>
        <w:t xml:space="preserve"> explained to them how these shifts of level </w:t>
      </w:r>
      <w:r w:rsidR="005041AE" w:rsidRPr="002A77EF">
        <w:rPr>
          <w:rFonts w:cs="Arial"/>
          <w:lang w:val="en-GB"/>
        </w:rPr>
        <w:t xml:space="preserve">had been engineered </w:t>
      </w:r>
      <w:r w:rsidRPr="002A77EF">
        <w:rPr>
          <w:rFonts w:cs="Arial"/>
          <w:lang w:val="en-GB"/>
        </w:rPr>
        <w:t xml:space="preserve">through questioning, why were </w:t>
      </w:r>
      <w:r w:rsidR="000166D4">
        <w:rPr>
          <w:rFonts w:cs="Arial"/>
          <w:lang w:val="en-GB"/>
        </w:rPr>
        <w:t>only 13</w:t>
      </w:r>
      <w:r w:rsidRPr="002A77EF">
        <w:rPr>
          <w:rFonts w:cs="Arial"/>
          <w:lang w:val="en-GB"/>
        </w:rPr>
        <w:t xml:space="preserve"> of them articulate about this in their feedback? A plausible conjecture is that this way of thinking about tasks and cognitive challenge is new for them</w:t>
      </w:r>
      <w:r w:rsidR="00FD6EDA">
        <w:rPr>
          <w:rFonts w:cs="Arial"/>
          <w:lang w:val="en-GB"/>
        </w:rPr>
        <w:t>. Such thinking</w:t>
      </w:r>
      <w:r w:rsidR="00495EE2">
        <w:rPr>
          <w:rFonts w:cs="Arial"/>
          <w:lang w:val="en-GB"/>
        </w:rPr>
        <w:t xml:space="preserve"> is rare in b</w:t>
      </w:r>
      <w:r w:rsidR="00406ACC">
        <w:rPr>
          <w:rFonts w:cs="Arial"/>
          <w:lang w:val="en-GB"/>
        </w:rPr>
        <w:t>o</w:t>
      </w:r>
      <w:r w:rsidR="00495EE2">
        <w:rPr>
          <w:rFonts w:cs="Arial"/>
          <w:lang w:val="en-GB"/>
        </w:rPr>
        <w:t>th research and professional literature</w:t>
      </w:r>
      <w:r w:rsidR="00FD6EDA">
        <w:rPr>
          <w:rFonts w:cs="Arial"/>
          <w:lang w:val="en-GB"/>
        </w:rPr>
        <w:t>. To articulate this</w:t>
      </w:r>
      <w:r w:rsidRPr="002A77EF">
        <w:rPr>
          <w:rFonts w:cs="Arial"/>
          <w:lang w:val="en-GB"/>
        </w:rPr>
        <w:t xml:space="preserve"> new idea at the end of </w:t>
      </w:r>
      <w:r w:rsidR="00FD6EDA">
        <w:rPr>
          <w:rFonts w:cs="Arial"/>
          <w:lang w:val="en-GB"/>
        </w:rPr>
        <w:t>the</w:t>
      </w:r>
      <w:r w:rsidRPr="002A77EF">
        <w:rPr>
          <w:rFonts w:cs="Arial"/>
          <w:lang w:val="en-GB"/>
        </w:rPr>
        <w:t xml:space="preserve"> session in which it ha</w:t>
      </w:r>
      <w:r w:rsidR="00495EE2">
        <w:rPr>
          <w:rFonts w:cs="Arial"/>
          <w:lang w:val="en-GB"/>
        </w:rPr>
        <w:t>s</w:t>
      </w:r>
      <w:r w:rsidRPr="002A77EF">
        <w:rPr>
          <w:rFonts w:cs="Arial"/>
          <w:lang w:val="en-GB"/>
        </w:rPr>
        <w:t xml:space="preserve"> been first introduced is a high expectation.</w:t>
      </w:r>
    </w:p>
    <w:p w:rsidR="001C5A13" w:rsidRDefault="001C5A13" w:rsidP="00B62488">
      <w:pPr>
        <w:pStyle w:val="Heading2"/>
        <w:jc w:val="center"/>
        <w:rPr>
          <w:rFonts w:ascii="Calibri" w:hAnsi="Calibri"/>
          <w:lang w:val="en-GB"/>
        </w:rPr>
      </w:pPr>
    </w:p>
    <w:p w:rsidR="00B00352" w:rsidRDefault="004F5D9D" w:rsidP="00B62488">
      <w:pPr>
        <w:pStyle w:val="Heading2"/>
        <w:jc w:val="center"/>
        <w:rPr>
          <w:rFonts w:ascii="Calibri" w:hAnsi="Calibri"/>
          <w:lang w:val="en-GB"/>
        </w:rPr>
      </w:pPr>
      <w:r>
        <w:rPr>
          <w:rFonts w:ascii="Calibri" w:hAnsi="Calibri"/>
          <w:lang w:val="en-GB"/>
        </w:rPr>
        <w:t>CONCLUDING REMARKS</w:t>
      </w:r>
    </w:p>
    <w:p w:rsidR="00030AE9" w:rsidRPr="00030AE9" w:rsidRDefault="00030AE9" w:rsidP="00030AE9"/>
    <w:p w:rsidR="00D7553D" w:rsidRPr="002A77EF" w:rsidRDefault="00D7553D" w:rsidP="00D7553D">
      <w:r w:rsidRPr="002A77EF">
        <w:t>Both</w:t>
      </w:r>
      <w:r w:rsidR="000166D4">
        <w:t xml:space="preserve"> task sequences</w:t>
      </w:r>
      <w:r w:rsidRPr="002A77EF">
        <w:t xml:space="preserve"> address the need</w:t>
      </w:r>
      <w:r w:rsidR="00710C36">
        <w:t>, when doing mathematics,</w:t>
      </w:r>
      <w:r w:rsidR="00557791">
        <w:t xml:space="preserve"> </w:t>
      </w:r>
      <w:r w:rsidRPr="002A77EF">
        <w:t xml:space="preserve">to </w:t>
      </w:r>
      <w:proofErr w:type="spellStart"/>
      <w:r w:rsidRPr="002A77EF">
        <w:t>generalise</w:t>
      </w:r>
      <w:proofErr w:type="spellEnd"/>
      <w:r w:rsidRPr="002A77EF">
        <w:t xml:space="preserve"> from</w:t>
      </w:r>
      <w:r w:rsidR="000166D4">
        <w:t xml:space="preserve"> mathematical </w:t>
      </w:r>
      <w:r w:rsidRPr="002A77EF">
        <w:t xml:space="preserve">experiences either by inductive reasoning or by understanding relations within a structure. In each sequence </w:t>
      </w:r>
      <w:r w:rsidR="00710C36">
        <w:t>teachers</w:t>
      </w:r>
      <w:r w:rsidRPr="002A77EF">
        <w:t xml:space="preserve"> learn more about the design of tasks for the classroom and also the effects of varying </w:t>
      </w:r>
      <w:r w:rsidRPr="002A77EF">
        <w:lastRenderedPageBreak/>
        <w:t xml:space="preserve">task presentation. </w:t>
      </w:r>
      <w:proofErr w:type="spellStart"/>
      <w:r w:rsidRPr="002A77EF">
        <w:t>Novotna</w:t>
      </w:r>
      <w:proofErr w:type="spellEnd"/>
      <w:r w:rsidRPr="002A77EF">
        <w:t xml:space="preserve"> and </w:t>
      </w:r>
      <w:proofErr w:type="spellStart"/>
      <w:r w:rsidRPr="002A77EF">
        <w:t>Sarrazy</w:t>
      </w:r>
      <w:proofErr w:type="spellEnd"/>
      <w:r w:rsidR="000C3DB9">
        <w:t xml:space="preserve"> (2010)</w:t>
      </w:r>
      <w:r w:rsidRPr="002A77EF">
        <w:t xml:space="preserve"> </w:t>
      </w:r>
      <w:r w:rsidR="000C3DB9">
        <w:t>explain that</w:t>
      </w:r>
      <w:r w:rsidR="00AA2888">
        <w:t xml:space="preserve"> thinking about</w:t>
      </w:r>
      <w:r w:rsidRPr="002A77EF">
        <w:t xml:space="preserve"> ‘didactical variability’ </w:t>
      </w:r>
      <w:r w:rsidR="002E5FFF">
        <w:t>needs</w:t>
      </w:r>
      <w:r w:rsidR="000C3DB9">
        <w:t xml:space="preserve"> to be explicit </w:t>
      </w:r>
      <w:r w:rsidR="00AA2888">
        <w:t xml:space="preserve">when teachers are planning and designing tasks.  Looking at variations in tasks </w:t>
      </w:r>
      <w:r w:rsidR="000C3DB9">
        <w:t>can</w:t>
      </w:r>
      <w:r w:rsidR="00AA2888">
        <w:t xml:space="preserve"> reveal the</w:t>
      </w:r>
      <w:r w:rsidR="000C3DB9">
        <w:t xml:space="preserve"> relationship between how ideas are presented and how they are learnt, </w:t>
      </w:r>
      <w:r w:rsidR="00AA2888">
        <w:t>and can also</w:t>
      </w:r>
      <w:r w:rsidR="000C3DB9">
        <w:t xml:space="preserve"> avoid </w:t>
      </w:r>
      <w:proofErr w:type="spellStart"/>
      <w:r w:rsidR="000C3DB9">
        <w:t>routinisation</w:t>
      </w:r>
      <w:proofErr w:type="spellEnd"/>
      <w:r w:rsidR="000C3DB9">
        <w:t xml:space="preserve"> of mathematical activity</w:t>
      </w:r>
      <w:r w:rsidRPr="002A77EF">
        <w:t>.</w:t>
      </w:r>
      <w:r w:rsidR="001E6AA6" w:rsidRPr="002A77EF">
        <w:t xml:space="preserve"> In the first </w:t>
      </w:r>
      <w:r w:rsidR="002D5847">
        <w:t xml:space="preserve">task </w:t>
      </w:r>
      <w:r w:rsidR="001E6AA6" w:rsidRPr="002A77EF">
        <w:t xml:space="preserve">sequence </w:t>
      </w:r>
      <w:r w:rsidR="004F5D9D">
        <w:t xml:space="preserve">the exploration of the issue of varying task presentation </w:t>
      </w:r>
      <w:r w:rsidR="001E6AA6" w:rsidRPr="002A77EF">
        <w:t xml:space="preserve">is an explicit </w:t>
      </w:r>
      <w:r w:rsidR="002D5847">
        <w:t>activity</w:t>
      </w:r>
      <w:r w:rsidR="001E6AA6" w:rsidRPr="002A77EF">
        <w:t xml:space="preserve">, </w:t>
      </w:r>
      <w:r w:rsidR="004F5D9D">
        <w:t>compari</w:t>
      </w:r>
      <w:r w:rsidR="00AA2888">
        <w:t>ng</w:t>
      </w:r>
      <w:r w:rsidR="004F5D9D">
        <w:t xml:space="preserve"> </w:t>
      </w:r>
      <w:r w:rsidR="001E6AA6" w:rsidRPr="002A77EF">
        <w:t xml:space="preserve">different problem formulations and hypothesizing about the effects </w:t>
      </w:r>
      <w:r w:rsidR="004F5D9D">
        <w:t xml:space="preserve">of </w:t>
      </w:r>
      <w:r w:rsidR="00AA2888">
        <w:t>these</w:t>
      </w:r>
      <w:r w:rsidR="004F5D9D">
        <w:t xml:space="preserve"> </w:t>
      </w:r>
      <w:r w:rsidR="001E6AA6" w:rsidRPr="002A77EF">
        <w:t>on learning.  Th</w:t>
      </w:r>
      <w:r w:rsidR="00AA2888">
        <w:t>e effects of this comparison on teachers' thinking</w:t>
      </w:r>
      <w:r w:rsidR="001E38E9" w:rsidRPr="002A77EF">
        <w:t xml:space="preserve"> </w:t>
      </w:r>
      <w:r w:rsidR="001E6AA6" w:rsidRPr="002A77EF">
        <w:t xml:space="preserve">figured strongly in </w:t>
      </w:r>
      <w:r w:rsidR="00710C36">
        <w:t xml:space="preserve">the questionnaire </w:t>
      </w:r>
      <w:r w:rsidR="001E6AA6" w:rsidRPr="002A77EF">
        <w:t xml:space="preserve">responses. In the second </w:t>
      </w:r>
      <w:r w:rsidR="002D5847">
        <w:t xml:space="preserve">task </w:t>
      </w:r>
      <w:r w:rsidR="001E6AA6" w:rsidRPr="002A77EF">
        <w:t>sequence variability is</w:t>
      </w:r>
      <w:r w:rsidR="000166D4">
        <w:t xml:space="preserve"> </w:t>
      </w:r>
      <w:r w:rsidR="00591E4D">
        <w:t xml:space="preserve">also </w:t>
      </w:r>
      <w:r w:rsidR="000166D4">
        <w:t xml:space="preserve">experienced directly </w:t>
      </w:r>
      <w:r w:rsidR="00591E4D">
        <w:t xml:space="preserve">but in a slightly different form: variability </w:t>
      </w:r>
      <w:r w:rsidR="000166D4">
        <w:t>is</w:t>
      </w:r>
      <w:r w:rsidR="001E6AA6" w:rsidRPr="002A77EF">
        <w:t xml:space="preserve"> used </w:t>
      </w:r>
      <w:r w:rsidR="001E38E9">
        <w:t xml:space="preserve">to </w:t>
      </w:r>
      <w:r w:rsidR="001E6AA6" w:rsidRPr="002A77EF">
        <w:t xml:space="preserve">mathematically engineer different kinds of </w:t>
      </w:r>
      <w:proofErr w:type="spellStart"/>
      <w:r w:rsidR="001E6AA6" w:rsidRPr="002A77EF">
        <w:t>generali</w:t>
      </w:r>
      <w:r w:rsidR="00591E4D">
        <w:t>s</w:t>
      </w:r>
      <w:r w:rsidR="001E6AA6" w:rsidRPr="002A77EF">
        <w:t>ation</w:t>
      </w:r>
      <w:proofErr w:type="spellEnd"/>
      <w:r w:rsidR="001E6AA6" w:rsidRPr="002A77EF">
        <w:t xml:space="preserve"> from which abstraction is developed</w:t>
      </w:r>
      <w:r w:rsidR="000166D4">
        <w:t>.</w:t>
      </w:r>
      <w:r w:rsidR="001E6AA6" w:rsidRPr="002A77EF">
        <w:t xml:space="preserve"> </w:t>
      </w:r>
      <w:r w:rsidR="000166D4">
        <w:t>T</w:t>
      </w:r>
      <w:r w:rsidR="001E6AA6" w:rsidRPr="002A77EF">
        <w:t xml:space="preserve">he aim </w:t>
      </w:r>
      <w:r w:rsidR="00557791">
        <w:t xml:space="preserve">in the second sequence was </w:t>
      </w:r>
      <w:r w:rsidR="00AA2888">
        <w:t>to notice</w:t>
      </w:r>
      <w:r w:rsidR="000166D4">
        <w:t xml:space="preserve"> th</w:t>
      </w:r>
      <w:r w:rsidR="00AA2888">
        <w:t>ese</w:t>
      </w:r>
      <w:r w:rsidR="000166D4">
        <w:t xml:space="preserve"> connection</w:t>
      </w:r>
      <w:r w:rsidR="00AA2888">
        <w:t xml:space="preserve">s, and therefore to think in future about what </w:t>
      </w:r>
      <w:proofErr w:type="spellStart"/>
      <w:r w:rsidR="00AA2888">
        <w:t>generalisations</w:t>
      </w:r>
      <w:proofErr w:type="spellEnd"/>
      <w:r w:rsidR="00AA2888">
        <w:t xml:space="preserve"> need to be engineered, and how this can be done.</w:t>
      </w:r>
      <w:r w:rsidR="000166D4">
        <w:t xml:space="preserve"> .</w:t>
      </w:r>
    </w:p>
    <w:p w:rsidR="002D5847" w:rsidRDefault="00D045EA" w:rsidP="00B00352">
      <w:pPr>
        <w:rPr>
          <w:rFonts w:cs="Arial"/>
          <w:lang w:val="en-GB"/>
        </w:rPr>
      </w:pPr>
      <w:r>
        <w:rPr>
          <w:rFonts w:cs="Arial"/>
          <w:lang w:val="en-GB"/>
        </w:rPr>
        <w:t>As mathematics teacher educators, w</w:t>
      </w:r>
      <w:r w:rsidR="00B00352" w:rsidRPr="002A77EF">
        <w:rPr>
          <w:rFonts w:cs="Arial"/>
          <w:lang w:val="en-GB"/>
        </w:rPr>
        <w:t xml:space="preserve">e both have similar aims in our teaching and similar expectations of the </w:t>
      </w:r>
      <w:r w:rsidR="00DC7594">
        <w:rPr>
          <w:rFonts w:cs="Arial"/>
          <w:lang w:val="en-GB"/>
        </w:rPr>
        <w:t>prospective teacher</w:t>
      </w:r>
      <w:r w:rsidR="00B00352" w:rsidRPr="002A77EF">
        <w:rPr>
          <w:rFonts w:cs="Arial"/>
          <w:lang w:val="en-GB"/>
        </w:rPr>
        <w:t>s’ responses</w:t>
      </w:r>
      <w:r w:rsidR="00BA0012">
        <w:rPr>
          <w:rFonts w:cs="Arial"/>
          <w:lang w:val="en-GB"/>
        </w:rPr>
        <w:t>,</w:t>
      </w:r>
      <w:r w:rsidR="000166D4">
        <w:rPr>
          <w:rFonts w:cs="Arial"/>
          <w:lang w:val="en-GB"/>
        </w:rPr>
        <w:t xml:space="preserve"> but </w:t>
      </w:r>
      <w:r w:rsidR="00BA0012">
        <w:rPr>
          <w:rFonts w:cs="Arial"/>
          <w:lang w:val="en-GB"/>
        </w:rPr>
        <w:t xml:space="preserve">the interplay between mathematics and pedagogy was not identical in the two </w:t>
      </w:r>
      <w:r w:rsidR="000166D4">
        <w:rPr>
          <w:rFonts w:cs="Arial"/>
          <w:lang w:val="en-GB"/>
        </w:rPr>
        <w:t>task sequences</w:t>
      </w:r>
      <w:r w:rsidR="002D5847">
        <w:rPr>
          <w:rFonts w:cs="Arial"/>
          <w:lang w:val="en-GB"/>
        </w:rPr>
        <w:t xml:space="preserve"> even</w:t>
      </w:r>
      <w:r w:rsidR="003E320B">
        <w:rPr>
          <w:rFonts w:cs="Arial"/>
          <w:lang w:val="en-GB"/>
        </w:rPr>
        <w:t xml:space="preserve"> though in both cases it happened</w:t>
      </w:r>
      <w:r w:rsidR="002D5847">
        <w:rPr>
          <w:rFonts w:cs="Arial"/>
          <w:lang w:val="en-GB"/>
        </w:rPr>
        <w:t xml:space="preserve"> in complex and multi-faceted ways that</w:t>
      </w:r>
      <w:r w:rsidR="000166D4">
        <w:rPr>
          <w:rFonts w:cs="Arial"/>
          <w:lang w:val="en-GB"/>
        </w:rPr>
        <w:t xml:space="preserve">.  </w:t>
      </w:r>
    </w:p>
    <w:p w:rsidR="00C72AA4" w:rsidRDefault="000166D4" w:rsidP="00B00352">
      <w:pPr>
        <w:rPr>
          <w:rFonts w:cs="Arial"/>
          <w:lang w:val="en-GB"/>
        </w:rPr>
      </w:pPr>
      <w:r>
        <w:rPr>
          <w:rFonts w:cs="Arial"/>
          <w:lang w:val="en-GB"/>
        </w:rPr>
        <w:t xml:space="preserve">In the first sequence the </w:t>
      </w:r>
      <w:r w:rsidR="00BA0012">
        <w:rPr>
          <w:rFonts w:cs="Arial"/>
          <w:lang w:val="en-GB"/>
        </w:rPr>
        <w:t xml:space="preserve">interplay can be summarised as </w:t>
      </w:r>
      <w:r w:rsidR="0073297A">
        <w:rPr>
          <w:rFonts w:cs="Arial"/>
          <w:lang w:val="en-GB"/>
        </w:rPr>
        <w:t>described below. T</w:t>
      </w:r>
      <w:r w:rsidR="00BA0012">
        <w:rPr>
          <w:rFonts w:cs="Arial"/>
          <w:lang w:val="en-GB"/>
        </w:rPr>
        <w:t xml:space="preserve">he starting point of the sequence was a mathematical task that, although it related to </w:t>
      </w:r>
      <w:r>
        <w:rPr>
          <w:rFonts w:cs="Arial"/>
          <w:lang w:val="en-GB"/>
        </w:rPr>
        <w:t xml:space="preserve">a well-known </w:t>
      </w:r>
      <w:r w:rsidR="00BA0012">
        <w:rPr>
          <w:rFonts w:cs="Arial"/>
          <w:lang w:val="en-GB"/>
        </w:rPr>
        <w:t xml:space="preserve">secondary school </w:t>
      </w:r>
      <w:r>
        <w:rPr>
          <w:rFonts w:cs="Arial"/>
          <w:lang w:val="en-GB"/>
        </w:rPr>
        <w:t xml:space="preserve">curriculum topic, </w:t>
      </w:r>
      <w:r w:rsidR="00BA0012">
        <w:rPr>
          <w:rFonts w:cs="Arial"/>
          <w:lang w:val="en-GB"/>
        </w:rPr>
        <w:t xml:space="preserve">the expectations in the task in terms of producing different proofs for each of the statements made the task appropriate and challenging.  </w:t>
      </w:r>
      <w:proofErr w:type="spellStart"/>
      <w:r w:rsidR="00AA2888">
        <w:rPr>
          <w:rFonts w:cs="Arial"/>
          <w:lang w:val="en-GB"/>
        </w:rPr>
        <w:t>The</w:t>
      </w:r>
      <w:r w:rsidR="001114AB">
        <w:rPr>
          <w:rFonts w:cs="Arial"/>
          <w:lang w:val="en-GB"/>
        </w:rPr>
        <w:t>prospective</w:t>
      </w:r>
      <w:proofErr w:type="spellEnd"/>
      <w:r w:rsidR="001114AB">
        <w:rPr>
          <w:rFonts w:cs="Arial"/>
          <w:lang w:val="en-GB"/>
        </w:rPr>
        <w:t xml:space="preserve"> teachers themselves started making such co</w:t>
      </w:r>
      <w:r w:rsidR="00D43CF0">
        <w:rPr>
          <w:rFonts w:cs="Arial"/>
          <w:lang w:val="en-GB"/>
        </w:rPr>
        <w:t>nnections on their own</w:t>
      </w:r>
      <w:r w:rsidR="00B44B7F">
        <w:rPr>
          <w:rFonts w:cs="Arial"/>
          <w:lang w:val="en-GB"/>
        </w:rPr>
        <w:t xml:space="preserve"> in their contributions during the lesson </w:t>
      </w:r>
      <w:r w:rsidR="00AA2888">
        <w:rPr>
          <w:rFonts w:cs="Arial"/>
          <w:lang w:val="en-GB"/>
        </w:rPr>
        <w:t>and</w:t>
      </w:r>
      <w:r w:rsidR="00B44B7F">
        <w:rPr>
          <w:rFonts w:cs="Arial"/>
          <w:lang w:val="en-GB"/>
        </w:rPr>
        <w:t xml:space="preserve"> also in their responses to the questionnaire</w:t>
      </w:r>
      <w:r w:rsidR="00D43CF0">
        <w:rPr>
          <w:rFonts w:cs="Arial"/>
          <w:lang w:val="en-GB"/>
        </w:rPr>
        <w:t xml:space="preserve">.  These connections were supported by the fact that </w:t>
      </w:r>
      <w:r w:rsidR="00710C36">
        <w:rPr>
          <w:rFonts w:cs="Arial"/>
          <w:lang w:val="en-GB"/>
        </w:rPr>
        <w:t>they</w:t>
      </w:r>
      <w:r w:rsidR="00D43CF0">
        <w:rPr>
          <w:rFonts w:cs="Arial"/>
          <w:lang w:val="en-GB"/>
        </w:rPr>
        <w:t xml:space="preserve"> could see the content of the task relating to the school cu</w:t>
      </w:r>
      <w:r w:rsidR="00B44B7F">
        <w:rPr>
          <w:rFonts w:cs="Arial"/>
          <w:lang w:val="en-GB"/>
        </w:rPr>
        <w:t xml:space="preserve">rriculum </w:t>
      </w:r>
      <w:r w:rsidR="00072E03">
        <w:rPr>
          <w:rFonts w:cs="Arial"/>
          <w:lang w:val="en-GB"/>
        </w:rPr>
        <w:t>and</w:t>
      </w:r>
      <w:r w:rsidR="00B44B7F">
        <w:rPr>
          <w:rFonts w:cs="Arial"/>
          <w:lang w:val="en-GB"/>
        </w:rPr>
        <w:t xml:space="preserve">, also, from the fact that </w:t>
      </w:r>
      <w:r w:rsidR="00710C36">
        <w:rPr>
          <w:rFonts w:cs="Arial"/>
          <w:lang w:val="en-GB"/>
        </w:rPr>
        <w:t>they</w:t>
      </w:r>
      <w:r w:rsidR="00B44B7F">
        <w:rPr>
          <w:rFonts w:cs="Arial"/>
          <w:lang w:val="en-GB"/>
        </w:rPr>
        <w:t xml:space="preserve"> were familiar with different issues of teaching and learning mathematics as a result of their school-based experience</w:t>
      </w:r>
      <w:r w:rsidR="000C0453">
        <w:rPr>
          <w:rFonts w:cs="Arial"/>
          <w:lang w:val="en-GB"/>
        </w:rPr>
        <w:t>.</w:t>
      </w:r>
      <w:r w:rsidR="00D43CF0">
        <w:rPr>
          <w:rFonts w:cs="Arial"/>
          <w:lang w:val="en-GB"/>
        </w:rPr>
        <w:t xml:space="preserve"> Although the discussion of the secondary students’ work on a similar mathematical task seemed to shift the focus to pedagogy, the choice of the particular sample of student work was deliberate in order to open up more mathematical possibilities leading to a discussion of a proof by mathematical induction. </w:t>
      </w:r>
      <w:r w:rsidR="00C72AA4">
        <w:rPr>
          <w:rFonts w:cs="Arial"/>
          <w:lang w:val="en-GB"/>
        </w:rPr>
        <w:t xml:space="preserve">The comparison of different task formulations at the end of the first task sequence capitalised on </w:t>
      </w:r>
      <w:r w:rsidR="00AA2888">
        <w:rPr>
          <w:rFonts w:cs="Arial"/>
          <w:lang w:val="en-GB"/>
        </w:rPr>
        <w:t xml:space="preserve">the </w:t>
      </w:r>
      <w:r w:rsidR="00C72AA4">
        <w:rPr>
          <w:rFonts w:cs="Arial"/>
          <w:lang w:val="en-GB"/>
        </w:rPr>
        <w:t>prospective teachers’ earlier mathematical and pedagogical discussions.  For example, the</w:t>
      </w:r>
      <w:r w:rsidR="009D74E1">
        <w:rPr>
          <w:rFonts w:cs="Arial"/>
          <w:lang w:val="en-GB"/>
        </w:rPr>
        <w:t xml:space="preserve"> connection between the</w:t>
      </w:r>
      <w:r w:rsidR="00C72AA4">
        <w:rPr>
          <w:rFonts w:cs="Arial"/>
          <w:lang w:val="en-GB"/>
        </w:rPr>
        <w:t xml:space="preserve"> </w:t>
      </w:r>
      <w:r w:rsidR="009D74E1">
        <w:rPr>
          <w:rFonts w:cs="Arial"/>
          <w:lang w:val="en-GB"/>
        </w:rPr>
        <w:t>paths they had followed in their earlier engagement with the mathematics, and the</w:t>
      </w:r>
      <w:r w:rsidR="00C72AA4">
        <w:rPr>
          <w:rFonts w:cs="Arial"/>
          <w:lang w:val="en-GB"/>
        </w:rPr>
        <w:t xml:space="preserve"> particular formulation</w:t>
      </w:r>
      <w:r w:rsidR="009D74E1">
        <w:rPr>
          <w:rFonts w:cs="Arial"/>
          <w:lang w:val="en-GB"/>
        </w:rPr>
        <w:t xml:space="preserve"> that had prompted these paths, </w:t>
      </w:r>
      <w:r w:rsidR="00C72AA4">
        <w:rPr>
          <w:rFonts w:cs="Arial"/>
          <w:lang w:val="en-GB"/>
        </w:rPr>
        <w:t xml:space="preserve">served as </w:t>
      </w:r>
      <w:r w:rsidR="00B866A3">
        <w:rPr>
          <w:rFonts w:cs="Arial"/>
          <w:lang w:val="en-GB"/>
        </w:rPr>
        <w:t>powerful</w:t>
      </w:r>
      <w:r w:rsidR="00C72AA4">
        <w:rPr>
          <w:rFonts w:cs="Arial"/>
          <w:lang w:val="en-GB"/>
        </w:rPr>
        <w:t xml:space="preserve"> </w:t>
      </w:r>
      <w:r w:rsidR="009D74E1">
        <w:rPr>
          <w:rFonts w:cs="Arial"/>
          <w:lang w:val="en-GB"/>
        </w:rPr>
        <w:t xml:space="preserve">empirical </w:t>
      </w:r>
      <w:r w:rsidR="00C72AA4">
        <w:rPr>
          <w:rFonts w:cs="Arial"/>
          <w:lang w:val="en-GB"/>
        </w:rPr>
        <w:t xml:space="preserve">experiences </w:t>
      </w:r>
      <w:r w:rsidR="009D74E1">
        <w:rPr>
          <w:rFonts w:cs="Arial"/>
          <w:lang w:val="en-GB"/>
        </w:rPr>
        <w:t>that informed the</w:t>
      </w:r>
      <w:r w:rsidR="00C72AA4">
        <w:rPr>
          <w:rFonts w:cs="Arial"/>
          <w:lang w:val="en-GB"/>
        </w:rPr>
        <w:t xml:space="preserve"> discussi</w:t>
      </w:r>
      <w:r w:rsidR="009D74E1">
        <w:rPr>
          <w:rFonts w:cs="Arial"/>
          <w:lang w:val="en-GB"/>
        </w:rPr>
        <w:t>on of</w:t>
      </w:r>
      <w:r w:rsidR="00C72AA4">
        <w:rPr>
          <w:rFonts w:cs="Arial"/>
          <w:lang w:val="en-GB"/>
        </w:rPr>
        <w:t xml:space="preserve"> different formulations.  At the same time, their knowledge of students and </w:t>
      </w:r>
      <w:r w:rsidR="00B866A3">
        <w:rPr>
          <w:rFonts w:cs="Arial"/>
          <w:lang w:val="en-GB"/>
        </w:rPr>
        <w:t xml:space="preserve">their </w:t>
      </w:r>
      <w:r w:rsidR="00B44B7F">
        <w:rPr>
          <w:rFonts w:cs="Arial"/>
          <w:lang w:val="en-GB"/>
        </w:rPr>
        <w:t>other school-based experiences</w:t>
      </w:r>
      <w:r w:rsidR="00C72AA4">
        <w:rPr>
          <w:rFonts w:cs="Arial"/>
          <w:lang w:val="en-GB"/>
        </w:rPr>
        <w:t xml:space="preserve"> provided </w:t>
      </w:r>
      <w:r w:rsidR="009D74E1">
        <w:rPr>
          <w:rFonts w:cs="Arial"/>
          <w:lang w:val="en-GB"/>
        </w:rPr>
        <w:t>a complementary lens</w:t>
      </w:r>
      <w:r w:rsidR="00C72AA4">
        <w:rPr>
          <w:rFonts w:cs="Arial"/>
          <w:lang w:val="en-GB"/>
        </w:rPr>
        <w:t xml:space="preserve"> </w:t>
      </w:r>
      <w:r w:rsidR="009D74E1">
        <w:rPr>
          <w:rFonts w:cs="Arial"/>
          <w:lang w:val="en-GB"/>
        </w:rPr>
        <w:t xml:space="preserve">both </w:t>
      </w:r>
      <w:r w:rsidR="00C72AA4">
        <w:rPr>
          <w:rFonts w:cs="Arial"/>
          <w:lang w:val="en-GB"/>
        </w:rPr>
        <w:t>for</w:t>
      </w:r>
      <w:r w:rsidR="009D74E1">
        <w:rPr>
          <w:rFonts w:cs="Arial"/>
          <w:lang w:val="en-GB"/>
        </w:rPr>
        <w:t xml:space="preserve"> </w:t>
      </w:r>
      <w:r w:rsidR="00C72AA4">
        <w:rPr>
          <w:rFonts w:cs="Arial"/>
          <w:lang w:val="en-GB"/>
        </w:rPr>
        <w:t>the discussion</w:t>
      </w:r>
      <w:r w:rsidR="00B44B7F">
        <w:rPr>
          <w:rFonts w:cs="Arial"/>
          <w:lang w:val="en-GB"/>
        </w:rPr>
        <w:t xml:space="preserve"> of the different task formulations</w:t>
      </w:r>
      <w:r w:rsidR="00B866A3">
        <w:rPr>
          <w:rFonts w:cs="Arial"/>
          <w:lang w:val="en-GB"/>
        </w:rPr>
        <w:t xml:space="preserve"> and</w:t>
      </w:r>
      <w:r w:rsidR="009D74E1">
        <w:rPr>
          <w:rFonts w:cs="Arial"/>
          <w:lang w:val="en-GB"/>
        </w:rPr>
        <w:t xml:space="preserve"> also for</w:t>
      </w:r>
      <w:r w:rsidR="00B866A3">
        <w:rPr>
          <w:rFonts w:cs="Arial"/>
          <w:lang w:val="en-GB"/>
        </w:rPr>
        <w:t xml:space="preserve"> the explanations they provided in the questionnaire </w:t>
      </w:r>
      <w:r w:rsidR="00410C8A">
        <w:rPr>
          <w:rFonts w:cs="Arial"/>
          <w:lang w:val="en-GB"/>
        </w:rPr>
        <w:t xml:space="preserve">about </w:t>
      </w:r>
      <w:r w:rsidR="00B866A3">
        <w:rPr>
          <w:rFonts w:cs="Arial"/>
          <w:lang w:val="en-GB"/>
        </w:rPr>
        <w:t xml:space="preserve">the importance of this activity in their own </w:t>
      </w:r>
      <w:r w:rsidR="005425CB">
        <w:rPr>
          <w:rFonts w:cs="Arial"/>
          <w:lang w:val="en-GB"/>
        </w:rPr>
        <w:t xml:space="preserve">development </w:t>
      </w:r>
      <w:r w:rsidR="00B866A3">
        <w:rPr>
          <w:rFonts w:cs="Arial"/>
          <w:lang w:val="en-GB"/>
        </w:rPr>
        <w:t>as learners and teachers of mathematics</w:t>
      </w:r>
      <w:r w:rsidR="00C72AA4">
        <w:rPr>
          <w:rFonts w:cs="Arial"/>
          <w:lang w:val="en-GB"/>
        </w:rPr>
        <w:t xml:space="preserve">. </w:t>
      </w:r>
    </w:p>
    <w:p w:rsidR="00FB6032" w:rsidRDefault="000C0453" w:rsidP="00B00352">
      <w:pPr>
        <w:rPr>
          <w:rFonts w:cs="Arial"/>
          <w:lang w:val="en-GB"/>
        </w:rPr>
      </w:pPr>
      <w:r>
        <w:rPr>
          <w:rFonts w:cs="Arial"/>
          <w:lang w:val="en-GB"/>
        </w:rPr>
        <w:t>I</w:t>
      </w:r>
      <w:r w:rsidR="000166D4">
        <w:rPr>
          <w:rFonts w:cs="Arial"/>
          <w:lang w:val="en-GB"/>
        </w:rPr>
        <w:t xml:space="preserve">n the second sequence, </w:t>
      </w:r>
      <w:r w:rsidR="00C72AA4">
        <w:rPr>
          <w:rFonts w:cs="Arial"/>
          <w:lang w:val="en-GB"/>
        </w:rPr>
        <w:t xml:space="preserve">the interplay between mathematics and pedagogy can be summarised </w:t>
      </w:r>
      <w:r w:rsidR="003E320B">
        <w:rPr>
          <w:rFonts w:cs="Arial"/>
          <w:lang w:val="en-GB"/>
        </w:rPr>
        <w:t>below</w:t>
      </w:r>
      <w:r w:rsidR="0073297A">
        <w:rPr>
          <w:rFonts w:cs="Arial"/>
          <w:lang w:val="en-GB"/>
        </w:rPr>
        <w:t>. T</w:t>
      </w:r>
      <w:r w:rsidR="000166D4">
        <w:rPr>
          <w:rFonts w:cs="Arial"/>
          <w:lang w:val="en-GB"/>
        </w:rPr>
        <w:t xml:space="preserve">he mathematical work is not curriculum related and </w:t>
      </w:r>
      <w:r w:rsidR="009D74E1">
        <w:rPr>
          <w:rFonts w:cs="Arial"/>
          <w:lang w:val="en-GB"/>
        </w:rPr>
        <w:t>was</w:t>
      </w:r>
      <w:r w:rsidR="000166D4">
        <w:rPr>
          <w:rFonts w:cs="Arial"/>
          <w:lang w:val="en-GB"/>
        </w:rPr>
        <w:t xml:space="preserve"> new for the prospective teachers. The emphasis remain</w:t>
      </w:r>
      <w:r w:rsidR="005425CB">
        <w:rPr>
          <w:rFonts w:cs="Arial"/>
          <w:lang w:val="en-GB"/>
        </w:rPr>
        <w:t>ed</w:t>
      </w:r>
      <w:r w:rsidR="000166D4">
        <w:rPr>
          <w:rFonts w:cs="Arial"/>
          <w:lang w:val="en-GB"/>
        </w:rPr>
        <w:t xml:space="preserve"> on their own mathematical activity until attention </w:t>
      </w:r>
      <w:r w:rsidR="005425CB">
        <w:rPr>
          <w:rFonts w:cs="Arial"/>
          <w:lang w:val="en-GB"/>
        </w:rPr>
        <w:t>was</w:t>
      </w:r>
      <w:r w:rsidR="000166D4">
        <w:rPr>
          <w:rFonts w:cs="Arial"/>
          <w:lang w:val="en-GB"/>
        </w:rPr>
        <w:t xml:space="preserve"> deliberately drawn to elements of task design and how they have shaped that activity</w:t>
      </w:r>
      <w:r w:rsidR="00C72AA4">
        <w:rPr>
          <w:rFonts w:cs="Arial"/>
          <w:lang w:val="en-GB"/>
        </w:rPr>
        <w:t>, which serve</w:t>
      </w:r>
      <w:r w:rsidR="005425CB">
        <w:rPr>
          <w:rFonts w:cs="Arial"/>
          <w:lang w:val="en-GB"/>
        </w:rPr>
        <w:t>d</w:t>
      </w:r>
      <w:r w:rsidR="00C72AA4">
        <w:rPr>
          <w:rFonts w:cs="Arial"/>
          <w:lang w:val="en-GB"/>
        </w:rPr>
        <w:t xml:space="preserve"> as a link to issues of pedagogy</w:t>
      </w:r>
      <w:r w:rsidR="000166D4">
        <w:rPr>
          <w:rFonts w:cs="Arial"/>
          <w:lang w:val="en-GB"/>
        </w:rPr>
        <w:t xml:space="preserve">.  </w:t>
      </w:r>
      <w:r w:rsidR="009D74E1">
        <w:rPr>
          <w:rFonts w:cs="Arial"/>
          <w:lang w:val="en-GB"/>
        </w:rPr>
        <w:t xml:space="preserve">By staying with their own experience, connections between task features and mathematical activity </w:t>
      </w:r>
      <w:r w:rsidR="005425CB">
        <w:rPr>
          <w:rFonts w:cs="Arial"/>
          <w:lang w:val="en-GB"/>
        </w:rPr>
        <w:t>we</w:t>
      </w:r>
      <w:r w:rsidR="009D74E1">
        <w:rPr>
          <w:rFonts w:cs="Arial"/>
          <w:lang w:val="en-GB"/>
        </w:rPr>
        <w:t xml:space="preserve">re made based </w:t>
      </w:r>
      <w:r w:rsidR="005425CB">
        <w:rPr>
          <w:rFonts w:cs="Arial"/>
          <w:lang w:val="en-GB"/>
        </w:rPr>
        <w:t>on</w:t>
      </w:r>
      <w:r w:rsidR="009D74E1">
        <w:rPr>
          <w:rFonts w:cs="Arial"/>
          <w:lang w:val="en-GB"/>
        </w:rPr>
        <w:t xml:space="preserve"> immediate personal evidence. </w:t>
      </w:r>
      <w:r w:rsidR="00B44B7F">
        <w:rPr>
          <w:rFonts w:cs="Arial"/>
          <w:lang w:val="en-GB"/>
        </w:rPr>
        <w:t>I</w:t>
      </w:r>
      <w:r>
        <w:rPr>
          <w:rFonts w:cs="Arial"/>
          <w:lang w:val="en-GB"/>
        </w:rPr>
        <w:t>n the post-session questionnaire the</w:t>
      </w:r>
      <w:r w:rsidR="00710C36">
        <w:rPr>
          <w:rFonts w:cs="Arial"/>
          <w:lang w:val="en-GB"/>
        </w:rPr>
        <w:t>re was</w:t>
      </w:r>
      <w:r>
        <w:rPr>
          <w:rFonts w:cs="Arial"/>
          <w:lang w:val="en-GB"/>
        </w:rPr>
        <w:t xml:space="preserve"> </w:t>
      </w:r>
      <w:r w:rsidR="009D74E1">
        <w:rPr>
          <w:rFonts w:cs="Arial"/>
          <w:lang w:val="en-GB"/>
        </w:rPr>
        <w:lastRenderedPageBreak/>
        <w:t>the</w:t>
      </w:r>
      <w:r>
        <w:rPr>
          <w:rFonts w:cs="Arial"/>
          <w:lang w:val="en-GB"/>
        </w:rPr>
        <w:t xml:space="preserve"> opportunity to </w:t>
      </w:r>
      <w:r w:rsidR="00B44B7F">
        <w:rPr>
          <w:rFonts w:cs="Arial"/>
          <w:lang w:val="en-GB"/>
        </w:rPr>
        <w:t xml:space="preserve">focus more on pedagogical issues and </w:t>
      </w:r>
      <w:r>
        <w:rPr>
          <w:rFonts w:cs="Arial"/>
          <w:lang w:val="en-GB"/>
        </w:rPr>
        <w:t>articulate</w:t>
      </w:r>
      <w:r w:rsidR="00B44B7F">
        <w:rPr>
          <w:rFonts w:cs="Arial"/>
          <w:lang w:val="en-GB"/>
        </w:rPr>
        <w:t>, for example,</w:t>
      </w:r>
      <w:r>
        <w:rPr>
          <w:rFonts w:cs="Arial"/>
          <w:lang w:val="en-GB"/>
        </w:rPr>
        <w:t xml:space="preserve"> how </w:t>
      </w:r>
      <w:r w:rsidR="00B44B7F">
        <w:rPr>
          <w:rFonts w:cs="Arial"/>
          <w:lang w:val="en-GB"/>
        </w:rPr>
        <w:t xml:space="preserve">their experience in the session </w:t>
      </w:r>
      <w:r>
        <w:rPr>
          <w:rFonts w:cs="Arial"/>
          <w:lang w:val="en-GB"/>
        </w:rPr>
        <w:t>might influence their own teaching.</w:t>
      </w:r>
      <w:r w:rsidR="00C72AA4">
        <w:rPr>
          <w:rFonts w:cs="Arial"/>
          <w:lang w:val="en-GB"/>
        </w:rPr>
        <w:t xml:space="preserve"> </w:t>
      </w:r>
      <w:r w:rsidR="00B44B7F">
        <w:rPr>
          <w:rFonts w:cs="Arial"/>
          <w:lang w:val="en-GB"/>
        </w:rPr>
        <w:t xml:space="preserve"> In their responses to the questionnaire, </w:t>
      </w:r>
      <w:r w:rsidR="00495EE2">
        <w:rPr>
          <w:rFonts w:cs="Arial"/>
          <w:lang w:val="en-GB"/>
        </w:rPr>
        <w:t>they</w:t>
      </w:r>
      <w:r w:rsidR="00B44B7F">
        <w:rPr>
          <w:rFonts w:cs="Arial"/>
          <w:lang w:val="en-GB"/>
        </w:rPr>
        <w:t xml:space="preserve"> overtly described and discussed </w:t>
      </w:r>
      <w:r w:rsidR="009D74E1">
        <w:rPr>
          <w:rFonts w:cs="Arial"/>
          <w:lang w:val="en-GB"/>
        </w:rPr>
        <w:t xml:space="preserve">how </w:t>
      </w:r>
      <w:r w:rsidR="003F51F3">
        <w:rPr>
          <w:rFonts w:cs="Arial"/>
          <w:lang w:val="en-GB"/>
        </w:rPr>
        <w:t>the deliberate introduction of new forms of questioning change</w:t>
      </w:r>
      <w:r w:rsidR="009D74E1">
        <w:rPr>
          <w:rFonts w:cs="Arial"/>
          <w:lang w:val="en-GB"/>
        </w:rPr>
        <w:t>d</w:t>
      </w:r>
      <w:r w:rsidR="003F51F3">
        <w:rPr>
          <w:rFonts w:cs="Arial"/>
          <w:lang w:val="en-GB"/>
        </w:rPr>
        <w:t xml:space="preserve"> mathematical activity</w:t>
      </w:r>
      <w:r w:rsidR="009D74E1">
        <w:rPr>
          <w:rFonts w:cs="Arial"/>
          <w:lang w:val="en-GB"/>
        </w:rPr>
        <w:t>, and how they might use these techniques in their teaching</w:t>
      </w:r>
      <w:r w:rsidR="003F51F3">
        <w:rPr>
          <w:rFonts w:cs="Arial"/>
          <w:lang w:val="en-GB"/>
        </w:rPr>
        <w:t>.</w:t>
      </w:r>
      <w:r w:rsidR="00B866A3">
        <w:rPr>
          <w:rFonts w:cs="Arial"/>
          <w:lang w:val="en-GB"/>
        </w:rPr>
        <w:t xml:space="preserve"> </w:t>
      </w:r>
      <w:r w:rsidR="00B00352" w:rsidRPr="002A77EF">
        <w:rPr>
          <w:rFonts w:cs="Arial"/>
          <w:lang w:val="en-GB"/>
        </w:rPr>
        <w:t xml:space="preserve">The sequencing of tasks is central to these effects.  </w:t>
      </w:r>
      <w:r w:rsidR="00D7553D" w:rsidRPr="002A77EF">
        <w:rPr>
          <w:rFonts w:cs="Arial"/>
          <w:lang w:val="en-GB"/>
        </w:rPr>
        <w:t>In element</w:t>
      </w:r>
      <w:r w:rsidR="00B00352" w:rsidRPr="002A77EF">
        <w:rPr>
          <w:rFonts w:cs="Arial"/>
          <w:lang w:val="en-GB"/>
        </w:rPr>
        <w:t xml:space="preserve"> 4</w:t>
      </w:r>
      <w:r w:rsidR="00B56A28">
        <w:rPr>
          <w:rFonts w:cs="Arial"/>
          <w:lang w:val="en-GB"/>
        </w:rPr>
        <w:t xml:space="preserve"> of the second sequence</w:t>
      </w:r>
      <w:r w:rsidR="00B00352" w:rsidRPr="002A77EF">
        <w:rPr>
          <w:rFonts w:cs="Arial"/>
          <w:lang w:val="en-GB"/>
        </w:rPr>
        <w:t xml:space="preserve">, for example, the new forms of questioning would not have a dramatic effect on changing thinking if early stages had not </w:t>
      </w:r>
      <w:r w:rsidR="00B56A28">
        <w:rPr>
          <w:rFonts w:cs="Arial"/>
          <w:lang w:val="en-GB"/>
        </w:rPr>
        <w:t xml:space="preserve">first </w:t>
      </w:r>
      <w:r w:rsidR="00B00352" w:rsidRPr="002A77EF">
        <w:rPr>
          <w:rFonts w:cs="Arial"/>
          <w:lang w:val="en-GB"/>
        </w:rPr>
        <w:t xml:space="preserve">established a </w:t>
      </w:r>
      <w:r w:rsidR="00B56A28">
        <w:rPr>
          <w:rFonts w:cs="Arial"/>
          <w:lang w:val="en-GB"/>
        </w:rPr>
        <w:t>simpler</w:t>
      </w:r>
      <w:r w:rsidR="00B00352" w:rsidRPr="002A77EF">
        <w:rPr>
          <w:rFonts w:cs="Arial"/>
          <w:lang w:val="en-GB"/>
        </w:rPr>
        <w:t xml:space="preserve"> form of thinking. A similar reorientation takes place later</w:t>
      </w:r>
      <w:r w:rsidR="00B56A28">
        <w:rPr>
          <w:rFonts w:cs="Arial"/>
          <w:lang w:val="en-GB"/>
        </w:rPr>
        <w:t xml:space="preserve"> after the establishment of the </w:t>
      </w:r>
      <w:r w:rsidR="00AA400D">
        <w:rPr>
          <w:rFonts w:cs="Arial"/>
          <w:lang w:val="en-GB"/>
        </w:rPr>
        <w:t>‘</w:t>
      </w:r>
      <w:r w:rsidR="00B56A28">
        <w:rPr>
          <w:rFonts w:cs="Arial"/>
          <w:lang w:val="en-GB"/>
        </w:rPr>
        <w:t>grid/cell</w:t>
      </w:r>
      <w:r w:rsidR="00AA400D">
        <w:rPr>
          <w:rFonts w:cs="Arial"/>
          <w:lang w:val="en-GB"/>
        </w:rPr>
        <w:t>’</w:t>
      </w:r>
      <w:r w:rsidR="00B56A28">
        <w:rPr>
          <w:rFonts w:cs="Arial"/>
          <w:lang w:val="en-GB"/>
        </w:rPr>
        <w:t xml:space="preserve"> generality</w:t>
      </w:r>
      <w:r w:rsidR="00B00352" w:rsidRPr="002A77EF">
        <w:rPr>
          <w:rFonts w:cs="Arial"/>
          <w:lang w:val="en-GB"/>
        </w:rPr>
        <w:t>.</w:t>
      </w:r>
      <w:r w:rsidR="00B56A28">
        <w:rPr>
          <w:rFonts w:cs="Arial"/>
          <w:lang w:val="en-GB"/>
        </w:rPr>
        <w:t xml:space="preserve"> </w:t>
      </w:r>
      <w:r w:rsidR="00AA2888">
        <w:rPr>
          <w:rFonts w:cs="Arial"/>
          <w:lang w:val="en-GB"/>
        </w:rPr>
        <w:t>These shifts of attention can be replicated for classroom mathematics learners through careful task design.</w:t>
      </w:r>
    </w:p>
    <w:p w:rsidR="00B56A28" w:rsidRDefault="00B56A28" w:rsidP="00B00352">
      <w:pPr>
        <w:rPr>
          <w:rFonts w:cs="Arial"/>
          <w:lang w:val="en-GB"/>
        </w:rPr>
      </w:pPr>
      <w:r>
        <w:rPr>
          <w:rFonts w:cs="Arial"/>
          <w:lang w:val="en-GB"/>
        </w:rPr>
        <w:t xml:space="preserve">The underlying principle </w:t>
      </w:r>
      <w:r w:rsidR="00FB6032">
        <w:rPr>
          <w:rFonts w:cs="Arial"/>
          <w:lang w:val="en-GB"/>
        </w:rPr>
        <w:t xml:space="preserve">in the reorientation described above </w:t>
      </w:r>
      <w:r>
        <w:rPr>
          <w:rFonts w:cs="Arial"/>
          <w:lang w:val="en-GB"/>
        </w:rPr>
        <w:t>is that learners</w:t>
      </w:r>
      <w:r w:rsidR="00AA2888">
        <w:rPr>
          <w:rFonts w:cs="Arial"/>
          <w:lang w:val="en-GB"/>
        </w:rPr>
        <w:t xml:space="preserve"> at any stage</w:t>
      </w:r>
      <w:r>
        <w:rPr>
          <w:rFonts w:cs="Arial"/>
          <w:lang w:val="en-GB"/>
        </w:rPr>
        <w:t xml:space="preserve"> establish successive </w:t>
      </w:r>
      <w:proofErr w:type="spellStart"/>
      <w:r>
        <w:rPr>
          <w:rFonts w:cs="Arial"/>
          <w:lang w:val="en-GB"/>
        </w:rPr>
        <w:t>intramental</w:t>
      </w:r>
      <w:proofErr w:type="spellEnd"/>
      <w:r>
        <w:rPr>
          <w:rFonts w:cs="Arial"/>
          <w:lang w:val="en-GB"/>
        </w:rPr>
        <w:t xml:space="preserve"> understandings that are reshaped by new forms of questioning.</w:t>
      </w:r>
      <w:r w:rsidR="00B00352" w:rsidRPr="002A77EF">
        <w:rPr>
          <w:rFonts w:cs="Arial"/>
          <w:lang w:val="en-GB"/>
        </w:rPr>
        <w:t xml:space="preserve"> </w:t>
      </w:r>
      <w:r w:rsidR="00AA2888">
        <w:rPr>
          <w:rFonts w:cs="Arial"/>
          <w:lang w:val="en-GB"/>
        </w:rPr>
        <w:t>The direct personal experience, through the tasks above, of learning mathematics and of how learning can take place, gives</w:t>
      </w:r>
      <w:r w:rsidR="00B00352" w:rsidRPr="002A77EF">
        <w:rPr>
          <w:rFonts w:cs="Arial"/>
          <w:lang w:val="en-GB"/>
        </w:rPr>
        <w:t xml:space="preserve"> </w:t>
      </w:r>
      <w:r w:rsidR="00DC7594">
        <w:rPr>
          <w:rFonts w:cs="Arial"/>
          <w:lang w:val="en-GB"/>
        </w:rPr>
        <w:t>prospective teacher</w:t>
      </w:r>
      <w:r w:rsidR="00B00352" w:rsidRPr="002A77EF">
        <w:rPr>
          <w:rFonts w:cs="Arial"/>
          <w:lang w:val="en-GB"/>
        </w:rPr>
        <w:t>s</w:t>
      </w:r>
      <w:r w:rsidR="00AA2888">
        <w:rPr>
          <w:rFonts w:cs="Arial"/>
          <w:lang w:val="en-GB"/>
        </w:rPr>
        <w:t xml:space="preserve"> insight into how to construct pedagogic sequences for their own students. </w:t>
      </w:r>
      <w:r w:rsidR="00B00352" w:rsidRPr="002A77EF">
        <w:rPr>
          <w:rFonts w:cs="Arial"/>
          <w:lang w:val="en-GB"/>
        </w:rPr>
        <w:t xml:space="preserve"> </w:t>
      </w:r>
    </w:p>
    <w:p w:rsidR="00810D38" w:rsidRPr="002A77EF" w:rsidRDefault="00FB6032" w:rsidP="00810D38">
      <w:r>
        <w:rPr>
          <w:rFonts w:cs="Arial"/>
          <w:lang w:val="en-GB"/>
        </w:rPr>
        <w:t xml:space="preserve">To conclude, </w:t>
      </w:r>
      <w:r>
        <w:t>w</w:t>
      </w:r>
      <w:r w:rsidR="00810D38" w:rsidRPr="002A77EF">
        <w:t xml:space="preserve">e have reported on two </w:t>
      </w:r>
      <w:r w:rsidR="00810D38" w:rsidRPr="00275799">
        <w:t>mathematics-specific task sequences</w:t>
      </w:r>
      <w:r w:rsidR="00810D38" w:rsidRPr="002A77EF">
        <w:t xml:space="preserve"> that </w:t>
      </w:r>
      <w:r w:rsidR="00EE2507">
        <w:t>illustrate in different ways</w:t>
      </w:r>
      <w:r w:rsidR="00810D38" w:rsidRPr="002A77EF">
        <w:t xml:space="preserve"> the features offered by Watson and Mason (2008, pp. 4-6)</w:t>
      </w:r>
      <w:r w:rsidR="00FD36C1">
        <w:t xml:space="preserve">, which we </w:t>
      </w:r>
      <w:proofErr w:type="spellStart"/>
      <w:r w:rsidR="00FD36C1">
        <w:t>summarised</w:t>
      </w:r>
      <w:proofErr w:type="spellEnd"/>
      <w:r w:rsidR="00FD36C1">
        <w:t xml:space="preserve"> at the beginning of the paper</w:t>
      </w:r>
      <w:r w:rsidR="00EE2507">
        <w:t>. Both task sequences:</w:t>
      </w:r>
    </w:p>
    <w:p w:rsidR="00810D38" w:rsidRPr="002A77EF" w:rsidRDefault="00810D38" w:rsidP="002E00E7">
      <w:pPr>
        <w:numPr>
          <w:ilvl w:val="0"/>
          <w:numId w:val="1"/>
        </w:numPr>
        <w:spacing w:after="0" w:line="240" w:lineRule="auto"/>
      </w:pPr>
      <w:r w:rsidRPr="002A77EF">
        <w:t>bring aspects of mathematical knowledge to the fore in ways that promote deep understanding;</w:t>
      </w:r>
    </w:p>
    <w:p w:rsidR="00810D38" w:rsidRPr="002A77EF" w:rsidRDefault="00810D38" w:rsidP="002E00E7">
      <w:pPr>
        <w:numPr>
          <w:ilvl w:val="0"/>
          <w:numId w:val="1"/>
        </w:numPr>
        <w:spacing w:after="0" w:line="240" w:lineRule="auto"/>
      </w:pPr>
      <w:r w:rsidRPr="002A77EF">
        <w:t>bring</w:t>
      </w:r>
      <w:r w:rsidR="00EE2507">
        <w:t xml:space="preserve"> </w:t>
      </w:r>
      <w:r w:rsidRPr="002A77EF">
        <w:t xml:space="preserve">aspects of mathematical thinking to </w:t>
      </w:r>
      <w:r w:rsidR="00EE2507">
        <w:t>the</w:t>
      </w:r>
      <w:r w:rsidR="00FD36C1">
        <w:t xml:space="preserve"> </w:t>
      </w:r>
      <w:r w:rsidRPr="002A77EF">
        <w:t>attention</w:t>
      </w:r>
      <w:r w:rsidR="00EE2507">
        <w:t xml:space="preserve"> of teachers</w:t>
      </w:r>
      <w:r w:rsidRPr="002A77EF">
        <w:t xml:space="preserve"> and provid</w:t>
      </w:r>
      <w:r w:rsidR="00EE2507">
        <w:t>e</w:t>
      </w:r>
      <w:r w:rsidRPr="002A77EF">
        <w:t xml:space="preserve"> a context for articulation of them;</w:t>
      </w:r>
    </w:p>
    <w:p w:rsidR="00810D38" w:rsidRPr="002A77EF" w:rsidRDefault="00810D38" w:rsidP="002E00E7">
      <w:pPr>
        <w:numPr>
          <w:ilvl w:val="0"/>
          <w:numId w:val="1"/>
        </w:numPr>
        <w:spacing w:after="0" w:line="240" w:lineRule="auto"/>
      </w:pPr>
      <w:r w:rsidRPr="002A77EF">
        <w:t>develop awareness of multiple perspectives through task-</w:t>
      </w:r>
      <w:proofErr w:type="spellStart"/>
      <w:r w:rsidRPr="002A77EF">
        <w:t>centred</w:t>
      </w:r>
      <w:proofErr w:type="spellEnd"/>
      <w:r w:rsidRPr="002A77EF">
        <w:t xml:space="preserve"> discussion</w:t>
      </w:r>
      <w:r w:rsidR="00030AE9">
        <w:t>; and</w:t>
      </w:r>
    </w:p>
    <w:p w:rsidR="00810D38" w:rsidRDefault="00810D38" w:rsidP="002E00E7">
      <w:pPr>
        <w:numPr>
          <w:ilvl w:val="0"/>
          <w:numId w:val="1"/>
        </w:numPr>
        <w:spacing w:after="0" w:line="240" w:lineRule="auto"/>
      </w:pPr>
      <w:r w:rsidRPr="002A77EF">
        <w:t>focus on didactic decisions relevant for specific topics</w:t>
      </w:r>
      <w:r w:rsidR="00030AE9">
        <w:t>.</w:t>
      </w:r>
    </w:p>
    <w:p w:rsidR="002E00E7" w:rsidRPr="002A77EF" w:rsidRDefault="002E00E7" w:rsidP="002E00E7">
      <w:pPr>
        <w:spacing w:after="0" w:line="240" w:lineRule="auto"/>
        <w:ind w:left="720"/>
      </w:pPr>
    </w:p>
    <w:p w:rsidR="004022F3" w:rsidRPr="002A77EF" w:rsidRDefault="00810D38" w:rsidP="004022F3">
      <w:r w:rsidRPr="002A77EF">
        <w:t xml:space="preserve">In both sequences, </w:t>
      </w:r>
      <w:r w:rsidR="00DC7594">
        <w:t>prospective teacher</w:t>
      </w:r>
      <w:r w:rsidRPr="002A77EF">
        <w:t>s’ own learning</w:t>
      </w:r>
      <w:r w:rsidR="00EE2507">
        <w:t>, experience and knowledge</w:t>
      </w:r>
      <w:r w:rsidR="00B56A28">
        <w:t>, whether about mathematics or pedagogy,</w:t>
      </w:r>
      <w:r w:rsidRPr="002A77EF">
        <w:t xml:space="preserve"> </w:t>
      </w:r>
      <w:r w:rsidR="00432869">
        <w:t>becomes</w:t>
      </w:r>
      <w:r w:rsidRPr="002A77EF">
        <w:t xml:space="preserve"> </w:t>
      </w:r>
      <w:r w:rsidR="00B56A28">
        <w:t>the central</w:t>
      </w:r>
      <w:r w:rsidRPr="002A77EF">
        <w:t xml:space="preserve"> reflective resource.  </w:t>
      </w:r>
      <w:r w:rsidR="00432869">
        <w:t xml:space="preserve">The design of the task sequences shapes their immediate experience in the session, and also mediates </w:t>
      </w:r>
      <w:r w:rsidR="00DF20B3">
        <w:t>interplay between past and present experience, school and university experience, and mathematics and pedagogy</w:t>
      </w:r>
      <w:bookmarkStart w:id="0" w:name="_GoBack"/>
      <w:bookmarkEnd w:id="0"/>
      <w:r w:rsidR="00DF20B3">
        <w:t>.</w:t>
      </w:r>
    </w:p>
    <w:p w:rsidR="004022F3" w:rsidRPr="002A77EF" w:rsidRDefault="004022F3" w:rsidP="00B00352">
      <w:pPr>
        <w:rPr>
          <w:rFonts w:cs="Arial"/>
          <w:lang w:val="en-GB"/>
        </w:rPr>
      </w:pPr>
    </w:p>
    <w:p w:rsidR="00B00352" w:rsidRPr="00DF1EA2" w:rsidRDefault="00B00352" w:rsidP="00B00352">
      <w:pPr>
        <w:rPr>
          <w:rFonts w:cs="Arial"/>
          <w:b/>
          <w:sz w:val="24"/>
          <w:szCs w:val="24"/>
          <w:lang w:val="en-GB"/>
        </w:rPr>
      </w:pPr>
    </w:p>
    <w:p w:rsidR="0086105D" w:rsidRPr="00EF34E0" w:rsidRDefault="0086105D" w:rsidP="0086105D"/>
    <w:p w:rsidR="0086105D" w:rsidRPr="00EF34E0" w:rsidRDefault="0086105D" w:rsidP="0086105D"/>
    <w:p w:rsidR="0086105D" w:rsidRPr="00EF34E0" w:rsidRDefault="0086105D" w:rsidP="0086105D">
      <w:r w:rsidRPr="00EF34E0">
        <w:br w:type="page"/>
      </w:r>
    </w:p>
    <w:p w:rsidR="0086105D" w:rsidRPr="00EF34E0" w:rsidRDefault="0086105D" w:rsidP="0086105D"/>
    <w:p w:rsidR="0097323F" w:rsidRDefault="0086105D">
      <w:r w:rsidRPr="00FD36C1">
        <w:rPr>
          <w:b/>
        </w:rPr>
        <w:t>References</w:t>
      </w:r>
    </w:p>
    <w:p w:rsidR="0097323F" w:rsidRPr="00EF34E0" w:rsidRDefault="0097323F" w:rsidP="0086105D">
      <w:proofErr w:type="spellStart"/>
      <w:r w:rsidRPr="00EF34E0">
        <w:t>Balacheff</w:t>
      </w:r>
      <w:proofErr w:type="spellEnd"/>
      <w:r w:rsidRPr="00EF34E0">
        <w:t xml:space="preserve">, N. (1988). A study of students’ proving processes at the junior high school level. In I. </w:t>
      </w:r>
      <w:proofErr w:type="spellStart"/>
      <w:r w:rsidRPr="00EF34E0">
        <w:t>Wirszup</w:t>
      </w:r>
      <w:proofErr w:type="spellEnd"/>
      <w:r w:rsidRPr="00EF34E0">
        <w:t xml:space="preserve">&amp; R. </w:t>
      </w:r>
      <w:proofErr w:type="spellStart"/>
      <w:r w:rsidRPr="00EF34E0">
        <w:t>Streit</w:t>
      </w:r>
      <w:proofErr w:type="spellEnd"/>
      <w:r w:rsidRPr="00EF34E0">
        <w:t xml:space="preserve">(Eds.), </w:t>
      </w:r>
      <w:r w:rsidRPr="003F7775">
        <w:rPr>
          <w:i/>
        </w:rPr>
        <w:t>Proceedings of the Second UCSMP International Conference on Mathematics Education</w:t>
      </w:r>
      <w:r w:rsidRPr="00EF34E0">
        <w:t xml:space="preserve"> (pp. 284–297).Reston, VA: National Council of Teachers of Mathematics.</w:t>
      </w:r>
    </w:p>
    <w:p w:rsidR="0097323F" w:rsidRPr="00EF34E0" w:rsidRDefault="0097323F" w:rsidP="0086105D">
      <w:proofErr w:type="spellStart"/>
      <w:r w:rsidRPr="00EF34E0">
        <w:t>Chevallard</w:t>
      </w:r>
      <w:proofErr w:type="spellEnd"/>
      <w:r w:rsidRPr="00EF34E0">
        <w:t xml:space="preserve">, Y. (1999). </w:t>
      </w:r>
      <w:proofErr w:type="spellStart"/>
      <w:r w:rsidRPr="00EF34E0">
        <w:t>L'analyse</w:t>
      </w:r>
      <w:proofErr w:type="spellEnd"/>
      <w:r w:rsidRPr="00EF34E0">
        <w:t xml:space="preserve"> des </w:t>
      </w:r>
      <w:proofErr w:type="spellStart"/>
      <w:r w:rsidRPr="00EF34E0">
        <w:t>pratiques</w:t>
      </w:r>
      <w:proofErr w:type="spellEnd"/>
      <w:r w:rsidRPr="00EF34E0">
        <w:t xml:space="preserve"> </w:t>
      </w:r>
      <w:proofErr w:type="spellStart"/>
      <w:r w:rsidRPr="00EF34E0">
        <w:t>enseignantes</w:t>
      </w:r>
      <w:proofErr w:type="spellEnd"/>
      <w:r w:rsidRPr="00EF34E0">
        <w:t xml:space="preserve"> en </w:t>
      </w:r>
      <w:proofErr w:type="spellStart"/>
      <w:r w:rsidRPr="00EF34E0">
        <w:t>théorie</w:t>
      </w:r>
      <w:proofErr w:type="spellEnd"/>
      <w:r w:rsidRPr="00EF34E0">
        <w:t xml:space="preserve"> </w:t>
      </w:r>
      <w:proofErr w:type="spellStart"/>
      <w:r w:rsidRPr="00EF34E0">
        <w:t>anthropologique</w:t>
      </w:r>
      <w:proofErr w:type="spellEnd"/>
      <w:r w:rsidRPr="00EF34E0">
        <w:t xml:space="preserve"> du </w:t>
      </w:r>
      <w:proofErr w:type="spellStart"/>
      <w:r w:rsidRPr="00EF34E0">
        <w:t>didactique</w:t>
      </w:r>
      <w:proofErr w:type="spellEnd"/>
      <w:r w:rsidRPr="00EF34E0">
        <w:t xml:space="preserve">. </w:t>
      </w:r>
      <w:proofErr w:type="spellStart"/>
      <w:r w:rsidRPr="003F7775">
        <w:rPr>
          <w:i/>
        </w:rPr>
        <w:t>Recherches</w:t>
      </w:r>
      <w:proofErr w:type="spellEnd"/>
      <w:r w:rsidRPr="003F7775">
        <w:rPr>
          <w:i/>
        </w:rPr>
        <w:t xml:space="preserve"> en </w:t>
      </w:r>
      <w:proofErr w:type="spellStart"/>
      <w:r w:rsidRPr="003F7775">
        <w:rPr>
          <w:i/>
        </w:rPr>
        <w:t>Didactique</w:t>
      </w:r>
      <w:proofErr w:type="spellEnd"/>
      <w:r w:rsidRPr="003F7775">
        <w:rPr>
          <w:i/>
        </w:rPr>
        <w:t xml:space="preserve"> des </w:t>
      </w:r>
      <w:proofErr w:type="spellStart"/>
      <w:r w:rsidRPr="003F7775">
        <w:rPr>
          <w:i/>
        </w:rPr>
        <w:t>Mathématiques</w:t>
      </w:r>
      <w:proofErr w:type="spellEnd"/>
      <w:r w:rsidRPr="003F7775">
        <w:rPr>
          <w:i/>
        </w:rPr>
        <w:t>,</w:t>
      </w:r>
      <w:r w:rsidRPr="00EF34E0">
        <w:t xml:space="preserve"> 19(2), 221-266.</w:t>
      </w:r>
    </w:p>
    <w:p w:rsidR="0097323F" w:rsidRPr="00EF34E0" w:rsidRDefault="0097323F" w:rsidP="0086105D">
      <w:r w:rsidRPr="00EF34E0">
        <w:t xml:space="preserve">Christiansen, B., &amp; Walter, G. (1986). Task and activity. In B. Christiansen, A.-G. </w:t>
      </w:r>
      <w:proofErr w:type="spellStart"/>
      <w:r w:rsidRPr="00EF34E0">
        <w:t>Howson</w:t>
      </w:r>
      <w:proofErr w:type="spellEnd"/>
      <w:r w:rsidRPr="00EF34E0">
        <w:t xml:space="preserve">&amp; M. </w:t>
      </w:r>
      <w:proofErr w:type="spellStart"/>
      <w:r w:rsidRPr="00EF34E0">
        <w:t>Otte</w:t>
      </w:r>
      <w:proofErr w:type="spellEnd"/>
      <w:r w:rsidRPr="00EF34E0">
        <w:t xml:space="preserve"> (Eds.), </w:t>
      </w:r>
      <w:r w:rsidRPr="003F7775">
        <w:rPr>
          <w:i/>
        </w:rPr>
        <w:t xml:space="preserve">Perspectives on mathematics education: Papers submitted by members of the </w:t>
      </w:r>
      <w:proofErr w:type="spellStart"/>
      <w:r w:rsidRPr="003F7775">
        <w:rPr>
          <w:i/>
        </w:rPr>
        <w:t>Bacomet</w:t>
      </w:r>
      <w:proofErr w:type="spellEnd"/>
      <w:r w:rsidRPr="00EF34E0">
        <w:t xml:space="preserve"> Group (pp. 243-307). Dordrecht: D. </w:t>
      </w:r>
      <w:proofErr w:type="spellStart"/>
      <w:r w:rsidRPr="00EF34E0">
        <w:t>Reidel</w:t>
      </w:r>
      <w:proofErr w:type="spellEnd"/>
      <w:r w:rsidRPr="00EF34E0">
        <w:t xml:space="preserve">. </w:t>
      </w:r>
    </w:p>
    <w:p w:rsidR="0097323F" w:rsidRPr="00726CEF" w:rsidRDefault="0097323F" w:rsidP="00726CEF">
      <w:r w:rsidRPr="00726CEF">
        <w:t xml:space="preserve">Dubinsky, E. (1986). Teaching mathematical induction I. </w:t>
      </w:r>
      <w:r w:rsidRPr="00726CEF">
        <w:rPr>
          <w:i/>
        </w:rPr>
        <w:t>Journal of Mathematical Behavior, 5</w:t>
      </w:r>
      <w:r w:rsidRPr="00726CEF">
        <w:t xml:space="preserve">, 305-317. </w:t>
      </w:r>
    </w:p>
    <w:p w:rsidR="0097323F" w:rsidRPr="00726CEF" w:rsidRDefault="0097323F" w:rsidP="00726CEF">
      <w:r w:rsidRPr="00726CEF">
        <w:t xml:space="preserve">Dubinsky, E. (1990). Teaching mathematical induction II. </w:t>
      </w:r>
      <w:r w:rsidRPr="00726CEF">
        <w:rPr>
          <w:i/>
        </w:rPr>
        <w:t>Journal of Mathematical Behavior, 8</w:t>
      </w:r>
      <w:r w:rsidRPr="00726CEF">
        <w:t>, 285-304.</w:t>
      </w:r>
    </w:p>
    <w:p w:rsidR="0097323F" w:rsidRDefault="0097323F" w:rsidP="00726CEF">
      <w:r w:rsidRPr="00726CEF">
        <w:t xml:space="preserve">Dubinsky, E., &amp; </w:t>
      </w:r>
      <w:proofErr w:type="spellStart"/>
      <w:r w:rsidRPr="00726CEF">
        <w:t>Lewin</w:t>
      </w:r>
      <w:proofErr w:type="spellEnd"/>
      <w:r w:rsidRPr="00726CEF">
        <w:t xml:space="preserve">, P. (1986). Reflective abstraction and mathematics education: The generic decomposition of induction and compactness. </w:t>
      </w:r>
      <w:r w:rsidRPr="00726CEF">
        <w:rPr>
          <w:i/>
        </w:rPr>
        <w:t>Journal of Mathematical Behavior, 5</w:t>
      </w:r>
      <w:r w:rsidRPr="00726CEF">
        <w:t>, 55-92.</w:t>
      </w:r>
    </w:p>
    <w:p w:rsidR="0097323F" w:rsidRPr="00726E83" w:rsidRDefault="0097323F" w:rsidP="0086105D">
      <w:proofErr w:type="spellStart"/>
      <w:r>
        <w:t>Hagger</w:t>
      </w:r>
      <w:proofErr w:type="spellEnd"/>
      <w:r>
        <w:t xml:space="preserve">, H., &amp; McIntyre, D. (2000). What can research tell us about teacher education? </w:t>
      </w:r>
      <w:r>
        <w:rPr>
          <w:i/>
        </w:rPr>
        <w:t>Oxford Review of Education, 26</w:t>
      </w:r>
      <w:r>
        <w:t>(3-4), 483-494.</w:t>
      </w:r>
    </w:p>
    <w:p w:rsidR="0097323F" w:rsidRPr="00EF34E0" w:rsidRDefault="0097323F" w:rsidP="0086105D">
      <w:proofErr w:type="spellStart"/>
      <w:r w:rsidRPr="00EF34E0">
        <w:t>Henningsen</w:t>
      </w:r>
      <w:proofErr w:type="spellEnd"/>
      <w:r w:rsidRPr="00EF34E0">
        <w:t xml:space="preserve">, M., &amp; Stein, M. K. (1997). Mathematical tasks and student cognition: classroom-based factors that support and inhibit high-level mathematical thinking and reasoning. </w:t>
      </w:r>
      <w:r w:rsidRPr="003F7775">
        <w:rPr>
          <w:i/>
        </w:rPr>
        <w:t>Journal for Research in Mathematics Education,</w:t>
      </w:r>
      <w:r w:rsidRPr="00EF34E0">
        <w:t xml:space="preserve"> 28, 524-549.</w:t>
      </w:r>
    </w:p>
    <w:p w:rsidR="0097323F" w:rsidRDefault="0097323F" w:rsidP="0086105D">
      <w:r w:rsidRPr="00726CEF">
        <w:t xml:space="preserve">Knuth, E.J. (2002). Secondary school mathematics teachers’ conceptions of proof. </w:t>
      </w:r>
      <w:r w:rsidRPr="00726CEF">
        <w:rPr>
          <w:i/>
        </w:rPr>
        <w:t>Journal for Research in Mathematics Education, 33</w:t>
      </w:r>
      <w:r w:rsidRPr="00726CEF">
        <w:t>, 379-405.</w:t>
      </w:r>
    </w:p>
    <w:p w:rsidR="0097323F" w:rsidRPr="00EF34E0" w:rsidRDefault="0097323F" w:rsidP="0086105D">
      <w:proofErr w:type="spellStart"/>
      <w:r w:rsidRPr="00EF34E0">
        <w:t>Leont'ev</w:t>
      </w:r>
      <w:proofErr w:type="spellEnd"/>
      <w:r w:rsidRPr="00EF34E0">
        <w:t xml:space="preserve">, A. (1975). </w:t>
      </w:r>
      <w:proofErr w:type="spellStart"/>
      <w:r w:rsidRPr="003F7775">
        <w:rPr>
          <w:i/>
        </w:rPr>
        <w:t>Dieyatelinocti</w:t>
      </w:r>
      <w:proofErr w:type="spellEnd"/>
      <w:r w:rsidRPr="003F7775">
        <w:rPr>
          <w:i/>
        </w:rPr>
        <w:t xml:space="preserve">, </w:t>
      </w:r>
      <w:proofErr w:type="spellStart"/>
      <w:r w:rsidRPr="003F7775">
        <w:rPr>
          <w:i/>
        </w:rPr>
        <w:t>soznaine</w:t>
      </w:r>
      <w:proofErr w:type="spellEnd"/>
      <w:r w:rsidRPr="003F7775">
        <w:rPr>
          <w:i/>
        </w:rPr>
        <w:t xml:space="preserve">, </w:t>
      </w:r>
      <w:proofErr w:type="spellStart"/>
      <w:r w:rsidRPr="003F7775">
        <w:rPr>
          <w:i/>
        </w:rPr>
        <w:t>ilichynosti</w:t>
      </w:r>
      <w:proofErr w:type="spellEnd"/>
      <w:r w:rsidRPr="00EF34E0">
        <w:t xml:space="preserve"> [Activity, consciousness, and personality].</w:t>
      </w:r>
      <w:proofErr w:type="spellStart"/>
      <w:r w:rsidRPr="00EF34E0">
        <w:t>Moskva</w:t>
      </w:r>
      <w:proofErr w:type="spellEnd"/>
      <w:r w:rsidRPr="00EF34E0">
        <w:t xml:space="preserve">: </w:t>
      </w:r>
      <w:proofErr w:type="spellStart"/>
      <w:r w:rsidRPr="00EF34E0">
        <w:t>Politizdat</w:t>
      </w:r>
      <w:proofErr w:type="spellEnd"/>
      <w:r w:rsidRPr="00EF34E0">
        <w:t xml:space="preserve">. </w:t>
      </w:r>
    </w:p>
    <w:p w:rsidR="0097323F" w:rsidRPr="00EF34E0" w:rsidRDefault="0097323F" w:rsidP="0086105D">
      <w:r w:rsidRPr="00EF34E0">
        <w:t xml:space="preserve">Margolinas, C. (2004). </w:t>
      </w:r>
      <w:r w:rsidRPr="003F7775">
        <w:rPr>
          <w:i/>
        </w:rPr>
        <w:t xml:space="preserve">Points de </w:t>
      </w:r>
      <w:proofErr w:type="spellStart"/>
      <w:r w:rsidRPr="003F7775">
        <w:rPr>
          <w:i/>
        </w:rPr>
        <w:t>vue</w:t>
      </w:r>
      <w:proofErr w:type="spellEnd"/>
      <w:r w:rsidRPr="003F7775">
        <w:rPr>
          <w:i/>
        </w:rPr>
        <w:t xml:space="preserve"> de </w:t>
      </w:r>
      <w:proofErr w:type="spellStart"/>
      <w:r w:rsidRPr="003F7775">
        <w:rPr>
          <w:i/>
        </w:rPr>
        <w:t>l'élève</w:t>
      </w:r>
      <w:proofErr w:type="spellEnd"/>
      <w:r w:rsidRPr="003F7775">
        <w:rPr>
          <w:i/>
        </w:rPr>
        <w:t xml:space="preserve"> et du </w:t>
      </w:r>
      <w:proofErr w:type="spellStart"/>
      <w:r w:rsidRPr="003F7775">
        <w:rPr>
          <w:i/>
        </w:rPr>
        <w:t>professeur</w:t>
      </w:r>
      <w:proofErr w:type="spellEnd"/>
      <w:r w:rsidRPr="003F7775">
        <w:rPr>
          <w:i/>
        </w:rPr>
        <w:t xml:space="preserve"> : </w:t>
      </w:r>
      <w:proofErr w:type="spellStart"/>
      <w:r w:rsidRPr="003F7775">
        <w:rPr>
          <w:i/>
        </w:rPr>
        <w:t>Essai</w:t>
      </w:r>
      <w:proofErr w:type="spellEnd"/>
      <w:r w:rsidRPr="003F7775">
        <w:rPr>
          <w:i/>
        </w:rPr>
        <w:t xml:space="preserve"> de </w:t>
      </w:r>
      <w:proofErr w:type="spellStart"/>
      <w:r w:rsidRPr="003F7775">
        <w:rPr>
          <w:i/>
        </w:rPr>
        <w:t>développement</w:t>
      </w:r>
      <w:proofErr w:type="spellEnd"/>
      <w:r w:rsidRPr="003F7775">
        <w:rPr>
          <w:i/>
        </w:rPr>
        <w:t xml:space="preserve"> de la </w:t>
      </w:r>
      <w:proofErr w:type="spellStart"/>
      <w:r w:rsidRPr="003F7775">
        <w:rPr>
          <w:i/>
        </w:rPr>
        <w:t>théorie</w:t>
      </w:r>
      <w:proofErr w:type="spellEnd"/>
      <w:r w:rsidRPr="003F7775">
        <w:rPr>
          <w:i/>
        </w:rPr>
        <w:t xml:space="preserve"> des situations </w:t>
      </w:r>
      <w:proofErr w:type="spellStart"/>
      <w:r w:rsidRPr="003F7775">
        <w:rPr>
          <w:i/>
        </w:rPr>
        <w:t>didactiques</w:t>
      </w:r>
      <w:proofErr w:type="spellEnd"/>
      <w:r w:rsidRPr="00EF34E0">
        <w:t xml:space="preserve">. </w:t>
      </w:r>
      <w:proofErr w:type="spellStart"/>
      <w:r w:rsidRPr="00EF34E0">
        <w:t>Université</w:t>
      </w:r>
      <w:proofErr w:type="spellEnd"/>
      <w:r w:rsidRPr="00EF34E0">
        <w:t xml:space="preserve"> de Provence. http://tel.archives-ouvertes.fr/tel-00429580/fr/</w:t>
      </w:r>
    </w:p>
    <w:p w:rsidR="0097323F" w:rsidRPr="00EF34E0" w:rsidRDefault="0097323F" w:rsidP="0086105D">
      <w:r w:rsidRPr="00EF34E0">
        <w:t xml:space="preserve">Margolinas, C. (2005). Les situations à bifurcations multiples : indices de </w:t>
      </w:r>
      <w:proofErr w:type="spellStart"/>
      <w:r w:rsidRPr="00EF34E0">
        <w:t>dysfonctionnement</w:t>
      </w:r>
      <w:proofErr w:type="spellEnd"/>
      <w:r w:rsidRPr="00EF34E0">
        <w:t xml:space="preserve"> </w:t>
      </w:r>
      <w:proofErr w:type="spellStart"/>
      <w:r w:rsidRPr="00EF34E0">
        <w:t>ou</w:t>
      </w:r>
      <w:proofErr w:type="spellEnd"/>
      <w:r w:rsidRPr="00EF34E0">
        <w:t xml:space="preserve"> de </w:t>
      </w:r>
      <w:proofErr w:type="spellStart"/>
      <w:r w:rsidRPr="00EF34E0">
        <w:t>cohérence</w:t>
      </w:r>
      <w:proofErr w:type="spellEnd"/>
      <w:r w:rsidRPr="00EF34E0">
        <w:t xml:space="preserve">. In A. Mercier &amp; C. Margolinas (Eds.), </w:t>
      </w:r>
      <w:proofErr w:type="spellStart"/>
      <w:r w:rsidRPr="003F7775">
        <w:rPr>
          <w:i/>
        </w:rPr>
        <w:t>Balises</w:t>
      </w:r>
      <w:proofErr w:type="spellEnd"/>
      <w:r w:rsidRPr="003F7775">
        <w:rPr>
          <w:i/>
        </w:rPr>
        <w:t xml:space="preserve"> en </w:t>
      </w:r>
      <w:proofErr w:type="spellStart"/>
      <w:r w:rsidRPr="003F7775">
        <w:rPr>
          <w:i/>
        </w:rPr>
        <w:t>didactique</w:t>
      </w:r>
      <w:proofErr w:type="spellEnd"/>
      <w:r w:rsidRPr="003F7775">
        <w:rPr>
          <w:i/>
        </w:rPr>
        <w:t xml:space="preserve"> des </w:t>
      </w:r>
      <w:proofErr w:type="spellStart"/>
      <w:r w:rsidRPr="003F7775">
        <w:rPr>
          <w:i/>
        </w:rPr>
        <w:t>mathématiques</w:t>
      </w:r>
      <w:proofErr w:type="spellEnd"/>
      <w:r w:rsidRPr="00EF34E0">
        <w:t xml:space="preserve"> (pp. </w:t>
      </w:r>
      <w:proofErr w:type="spellStart"/>
      <w:r w:rsidRPr="00EF34E0">
        <w:t>Cédérom</w:t>
      </w:r>
      <w:proofErr w:type="spellEnd"/>
      <w:r w:rsidRPr="00EF34E0">
        <w:t xml:space="preserve">). Grenoble La </w:t>
      </w:r>
      <w:proofErr w:type="spellStart"/>
      <w:r w:rsidRPr="00EF34E0">
        <w:t>Pensée</w:t>
      </w:r>
      <w:proofErr w:type="spellEnd"/>
      <w:r w:rsidRPr="00EF34E0">
        <w:t xml:space="preserve"> </w:t>
      </w:r>
      <w:proofErr w:type="spellStart"/>
      <w:r w:rsidRPr="00EF34E0">
        <w:t>Sauvage</w:t>
      </w:r>
      <w:proofErr w:type="spellEnd"/>
      <w:r w:rsidRPr="00EF34E0">
        <w:t>. http://halshs.archives-ouvertes.fr/halshs-00432229/fr/</w:t>
      </w:r>
    </w:p>
    <w:p w:rsidR="0097323F" w:rsidRDefault="0097323F" w:rsidP="0086105D">
      <w:r w:rsidRPr="00EF34E0">
        <w:t>Mason, J., &amp;</w:t>
      </w:r>
      <w:proofErr w:type="spellStart"/>
      <w:r w:rsidRPr="00EF34E0">
        <w:t>Pimm</w:t>
      </w:r>
      <w:proofErr w:type="spellEnd"/>
      <w:r w:rsidRPr="00EF34E0">
        <w:t>, D. (1984). Generic examples: Seeing the general in the particular.</w:t>
      </w:r>
      <w:r>
        <w:t xml:space="preserve"> </w:t>
      </w:r>
      <w:r w:rsidRPr="003F7775">
        <w:rPr>
          <w:i/>
        </w:rPr>
        <w:t>Educational Studies in Mathematics</w:t>
      </w:r>
      <w:r w:rsidRPr="00EF34E0">
        <w:t>,15, 277–289.</w:t>
      </w:r>
    </w:p>
    <w:p w:rsidR="0097323F" w:rsidRPr="00EF34E0" w:rsidRDefault="0097323F" w:rsidP="0086105D">
      <w:r w:rsidRPr="00EF34E0">
        <w:t xml:space="preserve">Mason, J., (with Burton, L., &amp; Stacey, K.). (1982). </w:t>
      </w:r>
      <w:r w:rsidRPr="003F7775">
        <w:rPr>
          <w:i/>
        </w:rPr>
        <w:t>Thinking mathematically.</w:t>
      </w:r>
      <w:r w:rsidRPr="00EF34E0">
        <w:t xml:space="preserve"> London: Addison-Wesley.</w:t>
      </w:r>
    </w:p>
    <w:p w:rsidR="0097323F" w:rsidRDefault="0097323F" w:rsidP="00726CEF">
      <w:pPr>
        <w:spacing w:after="0" w:line="240" w:lineRule="auto"/>
        <w:rPr>
          <w:rFonts w:ascii="Times New Roman" w:hAnsi="Times New Roman"/>
          <w:lang w:bidi="ar-SA"/>
        </w:rPr>
      </w:pPr>
      <w:proofErr w:type="spellStart"/>
      <w:r w:rsidRPr="00726CEF">
        <w:rPr>
          <w:rFonts w:ascii="Times New Roman" w:hAnsi="Times New Roman"/>
          <w:lang w:bidi="ar-SA"/>
        </w:rPr>
        <w:lastRenderedPageBreak/>
        <w:t>Movshovitz-Hadar</w:t>
      </w:r>
      <w:proofErr w:type="spellEnd"/>
      <w:r w:rsidRPr="00726CEF">
        <w:rPr>
          <w:rFonts w:ascii="Times New Roman" w:hAnsi="Times New Roman"/>
          <w:lang w:bidi="ar-SA"/>
        </w:rPr>
        <w:t xml:space="preserve">, N. (1993). The false coin problem, mathematical induction and knowledge fragility. </w:t>
      </w:r>
      <w:r w:rsidRPr="00726CEF">
        <w:rPr>
          <w:rFonts w:ascii="Times New Roman" w:hAnsi="Times New Roman"/>
          <w:i/>
          <w:lang w:bidi="ar-SA"/>
        </w:rPr>
        <w:t>Journal of Mathematical Behavior, 12</w:t>
      </w:r>
      <w:r w:rsidRPr="00726CEF">
        <w:rPr>
          <w:rFonts w:ascii="Times New Roman" w:hAnsi="Times New Roman"/>
          <w:lang w:bidi="ar-SA"/>
        </w:rPr>
        <w:t>, 253-268.</w:t>
      </w:r>
    </w:p>
    <w:p w:rsidR="0097323F" w:rsidRPr="00726CEF" w:rsidRDefault="0097323F" w:rsidP="00726CEF">
      <w:pPr>
        <w:spacing w:after="0" w:line="240" w:lineRule="auto"/>
        <w:rPr>
          <w:rFonts w:ascii="Times New Roman" w:hAnsi="Times New Roman"/>
          <w:lang w:bidi="ar-SA"/>
        </w:rPr>
      </w:pPr>
    </w:p>
    <w:p w:rsidR="0097323F" w:rsidRDefault="0097323F" w:rsidP="00693610">
      <w:pPr>
        <w:spacing w:after="0" w:line="240" w:lineRule="auto"/>
        <w:rPr>
          <w:rFonts w:ascii="Times New Roman" w:hAnsi="Times New Roman"/>
          <w:lang w:bidi="ar-SA"/>
        </w:rPr>
      </w:pPr>
      <w:proofErr w:type="spellStart"/>
      <w:r w:rsidRPr="00693610">
        <w:rPr>
          <w:rFonts w:ascii="Times New Roman" w:hAnsi="Times New Roman"/>
          <w:lang w:bidi="ar-SA"/>
        </w:rPr>
        <w:t>Novotná</w:t>
      </w:r>
      <w:proofErr w:type="spellEnd"/>
      <w:r w:rsidRPr="00693610">
        <w:rPr>
          <w:rFonts w:ascii="Times New Roman" w:hAnsi="Times New Roman"/>
          <w:lang w:bidi="ar-SA"/>
        </w:rPr>
        <w:t xml:space="preserve">, J. &amp; </w:t>
      </w:r>
      <w:proofErr w:type="spellStart"/>
      <w:r w:rsidRPr="00693610">
        <w:rPr>
          <w:rFonts w:ascii="Times New Roman" w:hAnsi="Times New Roman"/>
          <w:lang w:bidi="ar-SA"/>
        </w:rPr>
        <w:t>Sarrazy</w:t>
      </w:r>
      <w:proofErr w:type="spellEnd"/>
      <w:r w:rsidRPr="00693610">
        <w:rPr>
          <w:rFonts w:ascii="Times New Roman" w:hAnsi="Times New Roman"/>
          <w:lang w:bidi="ar-SA"/>
        </w:rPr>
        <w:t>, B. (</w:t>
      </w:r>
      <w:r>
        <w:rPr>
          <w:rFonts w:ascii="Times New Roman" w:hAnsi="Times New Roman"/>
          <w:lang w:bidi="ar-SA"/>
        </w:rPr>
        <w:t>2011)</w:t>
      </w:r>
      <w:r w:rsidRPr="00693610">
        <w:rPr>
          <w:rFonts w:ascii="Times New Roman" w:hAnsi="Times New Roman"/>
          <w:lang w:bidi="ar-SA"/>
        </w:rPr>
        <w:t xml:space="preserve">). Didactical variability in teacher education. In O. </w:t>
      </w:r>
      <w:proofErr w:type="spellStart"/>
      <w:r w:rsidRPr="00693610">
        <w:rPr>
          <w:rFonts w:ascii="Times New Roman" w:hAnsi="Times New Roman"/>
          <w:lang w:bidi="ar-SA"/>
        </w:rPr>
        <w:t>Zaslavsky</w:t>
      </w:r>
      <w:proofErr w:type="spellEnd"/>
      <w:r w:rsidRPr="00693610">
        <w:rPr>
          <w:rFonts w:ascii="Times New Roman" w:hAnsi="Times New Roman"/>
          <w:lang w:bidi="ar-SA"/>
        </w:rPr>
        <w:t xml:space="preserve"> &amp; P. Sullivan (Eds.),</w:t>
      </w:r>
      <w:r w:rsidRPr="00693610">
        <w:rPr>
          <w:rFonts w:ascii="Times New Roman" w:hAnsi="Times New Roman"/>
          <w:i/>
          <w:lang w:bidi="ar-SA"/>
        </w:rPr>
        <w:t>Constructing knowledge for teaching secondary mathematics: Tasks to enhance prospective and practicing teacher learning</w:t>
      </w:r>
      <w:r w:rsidRPr="00693610">
        <w:rPr>
          <w:rFonts w:ascii="Times New Roman" w:hAnsi="Times New Roman"/>
          <w:lang w:bidi="ar-SA"/>
        </w:rPr>
        <w:t>.</w:t>
      </w:r>
      <w:r>
        <w:rPr>
          <w:rFonts w:ascii="Times New Roman" w:hAnsi="Times New Roman"/>
          <w:lang w:bidi="ar-SA"/>
        </w:rPr>
        <w:t xml:space="preserve"> pp. 103-119. </w:t>
      </w:r>
      <w:r w:rsidRPr="00693610">
        <w:rPr>
          <w:rFonts w:ascii="Times New Roman" w:hAnsi="Times New Roman"/>
          <w:lang w:bidi="ar-SA"/>
        </w:rPr>
        <w:t xml:space="preserve"> </w:t>
      </w:r>
      <w:r>
        <w:rPr>
          <w:rFonts w:ascii="Times New Roman" w:hAnsi="Times New Roman"/>
          <w:lang w:bidi="ar-SA"/>
        </w:rPr>
        <w:t xml:space="preserve">Dordrecht: </w:t>
      </w:r>
      <w:r w:rsidRPr="00693610">
        <w:rPr>
          <w:rFonts w:ascii="Times New Roman" w:hAnsi="Times New Roman"/>
          <w:lang w:bidi="ar-SA"/>
        </w:rPr>
        <w:t xml:space="preserve">Springer. </w:t>
      </w:r>
    </w:p>
    <w:p w:rsidR="0097323F" w:rsidRDefault="0097323F" w:rsidP="00693610">
      <w:pPr>
        <w:spacing w:after="0" w:line="240" w:lineRule="auto"/>
        <w:rPr>
          <w:rFonts w:ascii="Times New Roman" w:hAnsi="Times New Roman"/>
          <w:lang w:bidi="ar-SA"/>
        </w:rPr>
      </w:pPr>
    </w:p>
    <w:p w:rsidR="0097323F" w:rsidRPr="00EF34E0" w:rsidRDefault="0097323F" w:rsidP="0086105D">
      <w:proofErr w:type="spellStart"/>
      <w:r w:rsidRPr="00EF34E0">
        <w:t>Runesson</w:t>
      </w:r>
      <w:proofErr w:type="spellEnd"/>
      <w:r w:rsidRPr="00EF34E0">
        <w:t xml:space="preserve">, U. (2005). Beyond discourse and interaction. Variation: a critical aspect for teaching and learning mathematics. </w:t>
      </w:r>
      <w:r w:rsidRPr="003F7775">
        <w:rPr>
          <w:i/>
        </w:rPr>
        <w:t>The Cambridge Journal of Education,</w:t>
      </w:r>
      <w:r w:rsidRPr="00EF34E0">
        <w:t xml:space="preserve"> 35(1), 69-87.</w:t>
      </w:r>
    </w:p>
    <w:p w:rsidR="0097323F" w:rsidRPr="00EF34E0" w:rsidRDefault="0097323F" w:rsidP="0086105D">
      <w:r w:rsidRPr="00EF34E0">
        <w:t>Stylianides, A. J., &amp;</w:t>
      </w:r>
      <w:r>
        <w:t xml:space="preserve"> </w:t>
      </w:r>
      <w:r w:rsidRPr="00EF34E0">
        <w:t xml:space="preserve">Stylianides, G. J. (2008). Studying the implementation of tasks in classroom settings: High-level mathematics tasks embedded in real-life contexts. </w:t>
      </w:r>
      <w:r w:rsidRPr="003F7775">
        <w:rPr>
          <w:i/>
        </w:rPr>
        <w:t>Teaching and Teacher Education,</w:t>
      </w:r>
      <w:r w:rsidRPr="00EF34E0">
        <w:t xml:space="preserve"> 24(4), 859-875.</w:t>
      </w:r>
    </w:p>
    <w:p w:rsidR="0097323F" w:rsidRDefault="0097323F" w:rsidP="0086105D">
      <w:pPr>
        <w:rPr>
          <w:bCs/>
        </w:rPr>
      </w:pPr>
      <w:r w:rsidRPr="00C4408B">
        <w:rPr>
          <w:bCs/>
        </w:rPr>
        <w:t>Stylianides, G. J.,</w:t>
      </w:r>
      <w:r w:rsidRPr="003D7116">
        <w:rPr>
          <w:bCs/>
        </w:rPr>
        <w:t xml:space="preserve"> &amp; Stylianides, A. J. (2010). Mathematics for teaching: A form of applied mathematics. </w:t>
      </w:r>
      <w:r w:rsidRPr="003D7116">
        <w:rPr>
          <w:bCs/>
          <w:i/>
          <w:iCs/>
        </w:rPr>
        <w:t>Teaching and Teacher Education, 26</w:t>
      </w:r>
      <w:r w:rsidRPr="003D7116">
        <w:rPr>
          <w:bCs/>
        </w:rPr>
        <w:t>, 161-172</w:t>
      </w:r>
      <w:r w:rsidRPr="003D7116">
        <w:rPr>
          <w:bCs/>
          <w:i/>
          <w:iCs/>
        </w:rPr>
        <w:t>.</w:t>
      </w:r>
    </w:p>
    <w:p w:rsidR="0097323F" w:rsidRDefault="0097323F" w:rsidP="0086105D">
      <w:r w:rsidRPr="00724F6A">
        <w:rPr>
          <w:bCs/>
        </w:rPr>
        <w:t>Stylianides, G. J.</w:t>
      </w:r>
      <w:r w:rsidRPr="00724F6A">
        <w:t>,</w:t>
      </w:r>
      <w:r w:rsidRPr="00377321">
        <w:t xml:space="preserve"> Stylianides, A. J., &amp; </w:t>
      </w:r>
      <w:proofErr w:type="spellStart"/>
      <w:r w:rsidRPr="00377321">
        <w:t>Philippou</w:t>
      </w:r>
      <w:proofErr w:type="spellEnd"/>
      <w:r w:rsidRPr="00377321">
        <w:t xml:space="preserve">, G. N. (2007). </w:t>
      </w:r>
      <w:proofErr w:type="spellStart"/>
      <w:r w:rsidRPr="00377321">
        <w:t>Preservice</w:t>
      </w:r>
      <w:proofErr w:type="spellEnd"/>
      <w:r w:rsidRPr="00377321">
        <w:t xml:space="preserve"> teachers’ knowledge of proof by mathematical induction. </w:t>
      </w:r>
      <w:r w:rsidRPr="00377321">
        <w:rPr>
          <w:i/>
          <w:iCs/>
        </w:rPr>
        <w:t>Journal of Mathematics Teacher Education, 10</w:t>
      </w:r>
      <w:r w:rsidRPr="00377321">
        <w:t>, 145-166.</w:t>
      </w:r>
    </w:p>
    <w:p w:rsidR="0097323F" w:rsidRDefault="0097323F" w:rsidP="0074124F">
      <w:r>
        <w:t xml:space="preserve">Tall D.O. &amp; </w:t>
      </w:r>
      <w:proofErr w:type="spellStart"/>
      <w:r>
        <w:t>Vinner</w:t>
      </w:r>
      <w:proofErr w:type="spellEnd"/>
      <w:r>
        <w:t xml:space="preserve"> S. (1981) Concept image and concept definition in mathematics, with particular reference to limits &amp; continuity”, </w:t>
      </w:r>
      <w:r w:rsidRPr="0074124F">
        <w:rPr>
          <w:i/>
        </w:rPr>
        <w:t>Educational Studies in Mathematics,</w:t>
      </w:r>
      <w:r>
        <w:t xml:space="preserve"> 12, 151–169.</w:t>
      </w:r>
    </w:p>
    <w:p w:rsidR="0097323F" w:rsidRDefault="0097323F" w:rsidP="0086105D">
      <w:proofErr w:type="spellStart"/>
      <w:r w:rsidRPr="00EF34E0">
        <w:t>Vergnaud</w:t>
      </w:r>
      <w:proofErr w:type="spellEnd"/>
      <w:r w:rsidRPr="00EF34E0">
        <w:t xml:space="preserve">, G. (1982). Cognitive and developmental psychology and research in mathematics education: some theoretical and methodological issues. </w:t>
      </w:r>
      <w:r w:rsidRPr="003F7775">
        <w:rPr>
          <w:i/>
        </w:rPr>
        <w:t>For the Learning of Mathematics,</w:t>
      </w:r>
      <w:r w:rsidRPr="00EF34E0">
        <w:t xml:space="preserve"> 3(2), 31-41.</w:t>
      </w:r>
    </w:p>
    <w:p w:rsidR="0097323F" w:rsidRPr="00EF34E0" w:rsidRDefault="0097323F" w:rsidP="0086105D">
      <w:r>
        <w:t xml:space="preserve">Watson, A. &amp; Bills, L. (2011) Working mathematically on teaching mathematics: Preparing graduates to teach secondary mathematics. In O. </w:t>
      </w:r>
      <w:proofErr w:type="spellStart"/>
      <w:r>
        <w:t>Zaslavsky</w:t>
      </w:r>
      <w:proofErr w:type="spellEnd"/>
      <w:r>
        <w:t xml:space="preserve"> &amp; </w:t>
      </w:r>
      <w:proofErr w:type="spellStart"/>
      <w:r>
        <w:t>P.Sullivan</w:t>
      </w:r>
      <w:proofErr w:type="spellEnd"/>
      <w:r>
        <w:t xml:space="preserve"> (eds.) </w:t>
      </w:r>
      <w:r w:rsidRPr="003F7775">
        <w:rPr>
          <w:i/>
        </w:rPr>
        <w:t xml:space="preserve">Constructing knowledge for teaching secondary mathematics: Tasks to </w:t>
      </w:r>
      <w:proofErr w:type="spellStart"/>
      <w:r w:rsidRPr="003F7775">
        <w:rPr>
          <w:i/>
        </w:rPr>
        <w:t>nenhance</w:t>
      </w:r>
      <w:proofErr w:type="spellEnd"/>
      <w:r w:rsidRPr="003F7775">
        <w:rPr>
          <w:i/>
        </w:rPr>
        <w:t xml:space="preserve"> prospective and practicing teacher learning.  </w:t>
      </w:r>
      <w:r>
        <w:t>Pp. 89-102. Dordrecht: Springer.</w:t>
      </w:r>
    </w:p>
    <w:p w:rsidR="0097323F" w:rsidRPr="0024444B" w:rsidRDefault="0097323F">
      <w:r w:rsidRPr="0024444B">
        <w:rPr>
          <w:rFonts w:cs="Arial"/>
        </w:rPr>
        <w:t>Watson, A. and Mason, J. (2008) Taken-as-Shared: a review of what is known about mathematical tasks in teacher education. </w:t>
      </w:r>
      <w:r w:rsidRPr="0024444B">
        <w:rPr>
          <w:rStyle w:val="Emphasis"/>
          <w:rFonts w:cs="Arial"/>
        </w:rPr>
        <w:t>Journal of Mathematics Teacher Education </w:t>
      </w:r>
      <w:r w:rsidRPr="0024444B">
        <w:rPr>
          <w:rFonts w:cs="Arial"/>
        </w:rPr>
        <w:t>10, 205-215</w:t>
      </w:r>
      <w:r w:rsidR="0024444B">
        <w:rPr>
          <w:rFonts w:cs="Arial"/>
        </w:rPr>
        <w:t>.</w:t>
      </w:r>
    </w:p>
    <w:p w:rsidR="0097323F" w:rsidRDefault="0097323F">
      <w:proofErr w:type="spellStart"/>
      <w:r>
        <w:t>Zaslavsky</w:t>
      </w:r>
      <w:proofErr w:type="spellEnd"/>
      <w:r>
        <w:t xml:space="preserve">, O. &amp; Sullivan, P. (2011) (eds.) </w:t>
      </w:r>
      <w:r w:rsidRPr="003F7775">
        <w:rPr>
          <w:i/>
        </w:rPr>
        <w:t xml:space="preserve">Constructing knowledge for teaching secondary mathematics: Tasks to </w:t>
      </w:r>
      <w:proofErr w:type="spellStart"/>
      <w:r w:rsidRPr="003F7775">
        <w:rPr>
          <w:i/>
        </w:rPr>
        <w:t>nenhance</w:t>
      </w:r>
      <w:proofErr w:type="spellEnd"/>
      <w:r w:rsidRPr="003F7775">
        <w:rPr>
          <w:i/>
        </w:rPr>
        <w:t xml:space="preserve"> prospective and practicing teacher learning</w:t>
      </w:r>
      <w:r>
        <w:t>. Dordrecht: Springer.</w:t>
      </w:r>
    </w:p>
    <w:p w:rsidR="0074124F" w:rsidRDefault="0074124F" w:rsidP="0074124F"/>
    <w:sectPr w:rsidR="0074124F" w:rsidSect="008204CA">
      <w:footerReference w:type="even" r:id="rId14"/>
      <w:footerReference w:type="default" r:id="rId15"/>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56" w:rsidRDefault="00064756" w:rsidP="00A20BEC">
      <w:pPr>
        <w:spacing w:after="0" w:line="240" w:lineRule="auto"/>
      </w:pPr>
      <w:r>
        <w:separator/>
      </w:r>
    </w:p>
  </w:endnote>
  <w:endnote w:type="continuationSeparator" w:id="0">
    <w:p w:rsidR="00064756" w:rsidRDefault="00064756" w:rsidP="00A20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69" w:rsidRDefault="00AE6927" w:rsidP="00CD1C9E">
    <w:pPr>
      <w:pStyle w:val="Footer"/>
      <w:framePr w:wrap="around" w:vAnchor="text" w:hAnchor="margin" w:xAlign="center" w:y="1"/>
      <w:rPr>
        <w:rStyle w:val="PageNumber"/>
      </w:rPr>
    </w:pPr>
    <w:r>
      <w:rPr>
        <w:rStyle w:val="PageNumber"/>
      </w:rPr>
      <w:fldChar w:fldCharType="begin"/>
    </w:r>
    <w:r w:rsidR="00284269">
      <w:rPr>
        <w:rStyle w:val="PageNumber"/>
      </w:rPr>
      <w:instrText xml:space="preserve">PAGE  </w:instrText>
    </w:r>
    <w:r>
      <w:rPr>
        <w:rStyle w:val="PageNumber"/>
      </w:rPr>
      <w:fldChar w:fldCharType="end"/>
    </w:r>
  </w:p>
  <w:p w:rsidR="00284269" w:rsidRDefault="00284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69" w:rsidRDefault="00AE6927" w:rsidP="00CD1C9E">
    <w:pPr>
      <w:pStyle w:val="Footer"/>
      <w:framePr w:wrap="around" w:vAnchor="text" w:hAnchor="margin" w:xAlign="center" w:y="1"/>
      <w:rPr>
        <w:rStyle w:val="PageNumber"/>
      </w:rPr>
    </w:pPr>
    <w:r>
      <w:rPr>
        <w:rStyle w:val="PageNumber"/>
      </w:rPr>
      <w:fldChar w:fldCharType="begin"/>
    </w:r>
    <w:r w:rsidR="00284269">
      <w:rPr>
        <w:rStyle w:val="PageNumber"/>
      </w:rPr>
      <w:instrText xml:space="preserve">PAGE  </w:instrText>
    </w:r>
    <w:r>
      <w:rPr>
        <w:rStyle w:val="PageNumber"/>
      </w:rPr>
      <w:fldChar w:fldCharType="separate"/>
    </w:r>
    <w:r w:rsidR="00BD1B08">
      <w:rPr>
        <w:rStyle w:val="PageNumber"/>
        <w:noProof/>
      </w:rPr>
      <w:t>23</w:t>
    </w:r>
    <w:r>
      <w:rPr>
        <w:rStyle w:val="PageNumber"/>
      </w:rPr>
      <w:fldChar w:fldCharType="end"/>
    </w:r>
  </w:p>
  <w:p w:rsidR="00284269" w:rsidRDefault="00284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56" w:rsidRDefault="00064756" w:rsidP="00A20BEC">
      <w:pPr>
        <w:spacing w:after="0" w:line="240" w:lineRule="auto"/>
      </w:pPr>
      <w:r>
        <w:separator/>
      </w:r>
    </w:p>
  </w:footnote>
  <w:footnote w:type="continuationSeparator" w:id="0">
    <w:p w:rsidR="00064756" w:rsidRDefault="00064756" w:rsidP="00A20BEC">
      <w:pPr>
        <w:spacing w:after="0" w:line="240" w:lineRule="auto"/>
      </w:pPr>
      <w:r>
        <w:continuationSeparator/>
      </w:r>
    </w:p>
  </w:footnote>
  <w:footnote w:id="1">
    <w:p w:rsidR="00284269" w:rsidRPr="001B7A52" w:rsidRDefault="00284269">
      <w:pPr>
        <w:pStyle w:val="FootnoteText"/>
      </w:pPr>
      <w:r>
        <w:rPr>
          <w:rStyle w:val="FootnoteReference"/>
        </w:rPr>
        <w:footnoteRef/>
      </w:r>
      <w:r>
        <w:t xml:space="preserve"> Typically, most students would only have met this method in algebraic/number theory contexts.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EEA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D7FEC"/>
    <w:multiLevelType w:val="hybridMultilevel"/>
    <w:tmpl w:val="8F924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31384"/>
    <w:multiLevelType w:val="hybridMultilevel"/>
    <w:tmpl w:val="DA1C2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E7BB0"/>
    <w:multiLevelType w:val="hybridMultilevel"/>
    <w:tmpl w:val="BF2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B4672"/>
    <w:multiLevelType w:val="hybridMultilevel"/>
    <w:tmpl w:val="69C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208D8"/>
    <w:multiLevelType w:val="hybridMultilevel"/>
    <w:tmpl w:val="01D6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3168C"/>
    <w:multiLevelType w:val="hybridMultilevel"/>
    <w:tmpl w:val="6858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136CD"/>
    <w:multiLevelType w:val="hybridMultilevel"/>
    <w:tmpl w:val="4FF2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04A82"/>
    <w:multiLevelType w:val="hybridMultilevel"/>
    <w:tmpl w:val="566E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F4B96"/>
    <w:multiLevelType w:val="multilevel"/>
    <w:tmpl w:val="86701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DF6400"/>
    <w:multiLevelType w:val="hybridMultilevel"/>
    <w:tmpl w:val="312C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20549"/>
    <w:multiLevelType w:val="hybridMultilevel"/>
    <w:tmpl w:val="DF22C8BE"/>
    <w:lvl w:ilvl="0" w:tplc="CB5ADA96">
      <w:start w:val="1"/>
      <w:numFmt w:val="decimal"/>
      <w:lvlText w:val="%1."/>
      <w:lvlJc w:val="left"/>
      <w:pPr>
        <w:ind w:left="360" w:hanging="360"/>
      </w:pPr>
      <w:rPr>
        <w:rFonts w:ascii="Calibri" w:hAnsi="Calibri" w:hint="default"/>
        <w:b w:val="0"/>
        <w:bCs w:val="0"/>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EE14F7"/>
    <w:multiLevelType w:val="hybridMultilevel"/>
    <w:tmpl w:val="80A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479AD"/>
    <w:multiLevelType w:val="hybridMultilevel"/>
    <w:tmpl w:val="877C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BE38E8"/>
    <w:multiLevelType w:val="hybridMultilevel"/>
    <w:tmpl w:val="9134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82718E"/>
    <w:multiLevelType w:val="hybridMultilevel"/>
    <w:tmpl w:val="60ECA546"/>
    <w:lvl w:ilvl="0" w:tplc="0CC41180">
      <w:start w:val="1"/>
      <w:numFmt w:val="bullet"/>
      <w:lvlText w:val="–"/>
      <w:lvlJc w:val="left"/>
      <w:pPr>
        <w:tabs>
          <w:tab w:val="num" w:pos="720"/>
        </w:tabs>
        <w:ind w:left="720" w:hanging="360"/>
      </w:pPr>
      <w:rPr>
        <w:rFonts w:ascii="Times" w:hAnsi="Times" w:hint="default"/>
      </w:rPr>
    </w:lvl>
    <w:lvl w:ilvl="1" w:tplc="BA92EB74">
      <w:start w:val="1"/>
      <w:numFmt w:val="bullet"/>
      <w:lvlText w:val="–"/>
      <w:lvlJc w:val="left"/>
      <w:pPr>
        <w:tabs>
          <w:tab w:val="num" w:pos="1440"/>
        </w:tabs>
        <w:ind w:left="1440" w:hanging="360"/>
      </w:pPr>
      <w:rPr>
        <w:rFonts w:ascii="Times" w:hAnsi="Times" w:hint="default"/>
      </w:rPr>
    </w:lvl>
    <w:lvl w:ilvl="2" w:tplc="7406A496" w:tentative="1">
      <w:start w:val="1"/>
      <w:numFmt w:val="bullet"/>
      <w:lvlText w:val="–"/>
      <w:lvlJc w:val="left"/>
      <w:pPr>
        <w:tabs>
          <w:tab w:val="num" w:pos="2160"/>
        </w:tabs>
        <w:ind w:left="2160" w:hanging="360"/>
      </w:pPr>
      <w:rPr>
        <w:rFonts w:ascii="Times" w:hAnsi="Times" w:hint="default"/>
      </w:rPr>
    </w:lvl>
    <w:lvl w:ilvl="3" w:tplc="9B9AED8E" w:tentative="1">
      <w:start w:val="1"/>
      <w:numFmt w:val="bullet"/>
      <w:lvlText w:val="–"/>
      <w:lvlJc w:val="left"/>
      <w:pPr>
        <w:tabs>
          <w:tab w:val="num" w:pos="2880"/>
        </w:tabs>
        <w:ind w:left="2880" w:hanging="360"/>
      </w:pPr>
      <w:rPr>
        <w:rFonts w:ascii="Times" w:hAnsi="Times" w:hint="default"/>
      </w:rPr>
    </w:lvl>
    <w:lvl w:ilvl="4" w:tplc="0428C054" w:tentative="1">
      <w:start w:val="1"/>
      <w:numFmt w:val="bullet"/>
      <w:lvlText w:val="–"/>
      <w:lvlJc w:val="left"/>
      <w:pPr>
        <w:tabs>
          <w:tab w:val="num" w:pos="3600"/>
        </w:tabs>
        <w:ind w:left="3600" w:hanging="360"/>
      </w:pPr>
      <w:rPr>
        <w:rFonts w:ascii="Times" w:hAnsi="Times" w:hint="default"/>
      </w:rPr>
    </w:lvl>
    <w:lvl w:ilvl="5" w:tplc="F0FC95E8" w:tentative="1">
      <w:start w:val="1"/>
      <w:numFmt w:val="bullet"/>
      <w:lvlText w:val="–"/>
      <w:lvlJc w:val="left"/>
      <w:pPr>
        <w:tabs>
          <w:tab w:val="num" w:pos="4320"/>
        </w:tabs>
        <w:ind w:left="4320" w:hanging="360"/>
      </w:pPr>
      <w:rPr>
        <w:rFonts w:ascii="Times" w:hAnsi="Times" w:hint="default"/>
      </w:rPr>
    </w:lvl>
    <w:lvl w:ilvl="6" w:tplc="6A70D496" w:tentative="1">
      <w:start w:val="1"/>
      <w:numFmt w:val="bullet"/>
      <w:lvlText w:val="–"/>
      <w:lvlJc w:val="left"/>
      <w:pPr>
        <w:tabs>
          <w:tab w:val="num" w:pos="5040"/>
        </w:tabs>
        <w:ind w:left="5040" w:hanging="360"/>
      </w:pPr>
      <w:rPr>
        <w:rFonts w:ascii="Times" w:hAnsi="Times" w:hint="default"/>
      </w:rPr>
    </w:lvl>
    <w:lvl w:ilvl="7" w:tplc="F830DAF0" w:tentative="1">
      <w:start w:val="1"/>
      <w:numFmt w:val="bullet"/>
      <w:lvlText w:val="–"/>
      <w:lvlJc w:val="left"/>
      <w:pPr>
        <w:tabs>
          <w:tab w:val="num" w:pos="5760"/>
        </w:tabs>
        <w:ind w:left="5760" w:hanging="360"/>
      </w:pPr>
      <w:rPr>
        <w:rFonts w:ascii="Times" w:hAnsi="Times" w:hint="default"/>
      </w:rPr>
    </w:lvl>
    <w:lvl w:ilvl="8" w:tplc="D1FEA58C" w:tentative="1">
      <w:start w:val="1"/>
      <w:numFmt w:val="bullet"/>
      <w:lvlText w:val="–"/>
      <w:lvlJc w:val="left"/>
      <w:pPr>
        <w:tabs>
          <w:tab w:val="num" w:pos="6480"/>
        </w:tabs>
        <w:ind w:left="6480" w:hanging="360"/>
      </w:pPr>
      <w:rPr>
        <w:rFonts w:ascii="Times" w:hAnsi="Times" w:hint="default"/>
      </w:rPr>
    </w:lvl>
  </w:abstractNum>
  <w:num w:numId="1">
    <w:abstractNumId w:val="6"/>
  </w:num>
  <w:num w:numId="2">
    <w:abstractNumId w:val="5"/>
  </w:num>
  <w:num w:numId="3">
    <w:abstractNumId w:val="13"/>
  </w:num>
  <w:num w:numId="4">
    <w:abstractNumId w:val="4"/>
  </w:num>
  <w:num w:numId="5">
    <w:abstractNumId w:val="14"/>
  </w:num>
  <w:num w:numId="6">
    <w:abstractNumId w:val="1"/>
  </w:num>
  <w:num w:numId="7">
    <w:abstractNumId w:val="7"/>
  </w:num>
  <w:num w:numId="8">
    <w:abstractNumId w:val="12"/>
  </w:num>
  <w:num w:numId="9">
    <w:abstractNumId w:val="0"/>
  </w:num>
  <w:num w:numId="10">
    <w:abstractNumId w:val="8"/>
  </w:num>
  <w:num w:numId="11">
    <w:abstractNumId w:val="3"/>
  </w:num>
  <w:num w:numId="12">
    <w:abstractNumId w:val="2"/>
  </w:num>
  <w:num w:numId="13">
    <w:abstractNumId w:val="11"/>
  </w:num>
  <w:num w:numId="14">
    <w:abstractNumId w:val="9"/>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efaultTabStop w:val="720"/>
  <w:characterSpacingControl w:val="doNotCompress"/>
  <w:hdrShapeDefaults>
    <o:shapedefaults v:ext="edit" spidmax="17410"/>
  </w:hdrShapeDefaults>
  <w:footnotePr>
    <w:footnote w:id="-1"/>
    <w:footnote w:id="0"/>
  </w:footnotePr>
  <w:endnotePr>
    <w:endnote w:id="-1"/>
    <w:endnote w:id="0"/>
  </w:endnotePr>
  <w:compat/>
  <w:docVars>
    <w:docVar w:name="dgnword-docGUID" w:val="{436A464E-AF5E-492C-B6B6-944BDD568525}"/>
    <w:docVar w:name="dgnword-eventsink" w:val="61515464"/>
  </w:docVars>
  <w:rsids>
    <w:rsidRoot w:val="0086105D"/>
    <w:rsid w:val="000101FE"/>
    <w:rsid w:val="000166D4"/>
    <w:rsid w:val="000226A3"/>
    <w:rsid w:val="00023654"/>
    <w:rsid w:val="00030AE9"/>
    <w:rsid w:val="00040872"/>
    <w:rsid w:val="00042CC6"/>
    <w:rsid w:val="00064756"/>
    <w:rsid w:val="00072E03"/>
    <w:rsid w:val="00084FA1"/>
    <w:rsid w:val="0009006E"/>
    <w:rsid w:val="00091546"/>
    <w:rsid w:val="00091B2F"/>
    <w:rsid w:val="00092778"/>
    <w:rsid w:val="00097FD9"/>
    <w:rsid w:val="000B02ED"/>
    <w:rsid w:val="000B5CB3"/>
    <w:rsid w:val="000C0453"/>
    <w:rsid w:val="000C2E1C"/>
    <w:rsid w:val="000C3DB9"/>
    <w:rsid w:val="000C6E89"/>
    <w:rsid w:val="000D62E5"/>
    <w:rsid w:val="000E25CB"/>
    <w:rsid w:val="00100AB4"/>
    <w:rsid w:val="001025DB"/>
    <w:rsid w:val="0010707E"/>
    <w:rsid w:val="001114AB"/>
    <w:rsid w:val="0012130D"/>
    <w:rsid w:val="00130AE3"/>
    <w:rsid w:val="00136ED8"/>
    <w:rsid w:val="001545A6"/>
    <w:rsid w:val="001714E4"/>
    <w:rsid w:val="001721A1"/>
    <w:rsid w:val="001731EC"/>
    <w:rsid w:val="001849F3"/>
    <w:rsid w:val="00190C45"/>
    <w:rsid w:val="001B10C4"/>
    <w:rsid w:val="001B282F"/>
    <w:rsid w:val="001B3892"/>
    <w:rsid w:val="001B7A52"/>
    <w:rsid w:val="001C5A13"/>
    <w:rsid w:val="001C5D62"/>
    <w:rsid w:val="001D5C84"/>
    <w:rsid w:val="001E38E9"/>
    <w:rsid w:val="001E6AA6"/>
    <w:rsid w:val="001E6C78"/>
    <w:rsid w:val="00207B71"/>
    <w:rsid w:val="00211E4D"/>
    <w:rsid w:val="00221B8A"/>
    <w:rsid w:val="00223FD4"/>
    <w:rsid w:val="002265F6"/>
    <w:rsid w:val="00237CEC"/>
    <w:rsid w:val="0024444B"/>
    <w:rsid w:val="0027163C"/>
    <w:rsid w:val="00275799"/>
    <w:rsid w:val="00284269"/>
    <w:rsid w:val="002A77EF"/>
    <w:rsid w:val="002C7CBE"/>
    <w:rsid w:val="002D52C5"/>
    <w:rsid w:val="002D5847"/>
    <w:rsid w:val="002E00E7"/>
    <w:rsid w:val="002E5BDA"/>
    <w:rsid w:val="002E5FFF"/>
    <w:rsid w:val="002F322B"/>
    <w:rsid w:val="002F6F54"/>
    <w:rsid w:val="00312A0D"/>
    <w:rsid w:val="00323A29"/>
    <w:rsid w:val="00326D1B"/>
    <w:rsid w:val="003354A5"/>
    <w:rsid w:val="0036277E"/>
    <w:rsid w:val="003735CA"/>
    <w:rsid w:val="00377321"/>
    <w:rsid w:val="0038160D"/>
    <w:rsid w:val="0039093E"/>
    <w:rsid w:val="0039305F"/>
    <w:rsid w:val="003A455C"/>
    <w:rsid w:val="003B688D"/>
    <w:rsid w:val="003C41C1"/>
    <w:rsid w:val="003C4856"/>
    <w:rsid w:val="003D7116"/>
    <w:rsid w:val="003E0F1B"/>
    <w:rsid w:val="003E1FFE"/>
    <w:rsid w:val="003E320B"/>
    <w:rsid w:val="003E3858"/>
    <w:rsid w:val="003F0DD0"/>
    <w:rsid w:val="003F279E"/>
    <w:rsid w:val="003F3E45"/>
    <w:rsid w:val="003F42CA"/>
    <w:rsid w:val="003F51F3"/>
    <w:rsid w:val="003F7775"/>
    <w:rsid w:val="004022F3"/>
    <w:rsid w:val="00406ACC"/>
    <w:rsid w:val="00407724"/>
    <w:rsid w:val="00410C8A"/>
    <w:rsid w:val="00414A4C"/>
    <w:rsid w:val="00417851"/>
    <w:rsid w:val="004239D4"/>
    <w:rsid w:val="00425DFD"/>
    <w:rsid w:val="00432869"/>
    <w:rsid w:val="00462FA5"/>
    <w:rsid w:val="00466D71"/>
    <w:rsid w:val="0047280A"/>
    <w:rsid w:val="00495EE2"/>
    <w:rsid w:val="00497E04"/>
    <w:rsid w:val="004A3613"/>
    <w:rsid w:val="004B163D"/>
    <w:rsid w:val="004B5020"/>
    <w:rsid w:val="004E38A6"/>
    <w:rsid w:val="004F37B9"/>
    <w:rsid w:val="004F5D9D"/>
    <w:rsid w:val="005041AE"/>
    <w:rsid w:val="00514AB6"/>
    <w:rsid w:val="00524FF4"/>
    <w:rsid w:val="005425CB"/>
    <w:rsid w:val="00556863"/>
    <w:rsid w:val="00557791"/>
    <w:rsid w:val="0056281F"/>
    <w:rsid w:val="0056611D"/>
    <w:rsid w:val="00591E4D"/>
    <w:rsid w:val="005B2719"/>
    <w:rsid w:val="005B454C"/>
    <w:rsid w:val="005B493C"/>
    <w:rsid w:val="005D00FF"/>
    <w:rsid w:val="005D6C13"/>
    <w:rsid w:val="005E4B89"/>
    <w:rsid w:val="005F61EB"/>
    <w:rsid w:val="0060100A"/>
    <w:rsid w:val="00614E71"/>
    <w:rsid w:val="00622922"/>
    <w:rsid w:val="00623A03"/>
    <w:rsid w:val="00637600"/>
    <w:rsid w:val="00641058"/>
    <w:rsid w:val="00641CE9"/>
    <w:rsid w:val="00661AD7"/>
    <w:rsid w:val="0066221A"/>
    <w:rsid w:val="0066525A"/>
    <w:rsid w:val="00666E70"/>
    <w:rsid w:val="00674649"/>
    <w:rsid w:val="00674AB1"/>
    <w:rsid w:val="0068017A"/>
    <w:rsid w:val="006849F8"/>
    <w:rsid w:val="006934D3"/>
    <w:rsid w:val="00693610"/>
    <w:rsid w:val="00695397"/>
    <w:rsid w:val="00696912"/>
    <w:rsid w:val="006A033E"/>
    <w:rsid w:val="006A23DC"/>
    <w:rsid w:val="006A3282"/>
    <w:rsid w:val="006D2282"/>
    <w:rsid w:val="006D5D95"/>
    <w:rsid w:val="006E1E81"/>
    <w:rsid w:val="006E2CE4"/>
    <w:rsid w:val="006E7322"/>
    <w:rsid w:val="006F30A1"/>
    <w:rsid w:val="006F6670"/>
    <w:rsid w:val="00703F77"/>
    <w:rsid w:val="00705F76"/>
    <w:rsid w:val="007103D7"/>
    <w:rsid w:val="00710C36"/>
    <w:rsid w:val="0071375B"/>
    <w:rsid w:val="00716544"/>
    <w:rsid w:val="00720F59"/>
    <w:rsid w:val="0072158A"/>
    <w:rsid w:val="00724F6A"/>
    <w:rsid w:val="00725134"/>
    <w:rsid w:val="0072550F"/>
    <w:rsid w:val="00726CEF"/>
    <w:rsid w:val="00726E83"/>
    <w:rsid w:val="0073297A"/>
    <w:rsid w:val="00735806"/>
    <w:rsid w:val="00736254"/>
    <w:rsid w:val="007376D2"/>
    <w:rsid w:val="0074124F"/>
    <w:rsid w:val="00770006"/>
    <w:rsid w:val="00770294"/>
    <w:rsid w:val="00771654"/>
    <w:rsid w:val="007877AF"/>
    <w:rsid w:val="00791429"/>
    <w:rsid w:val="00792F39"/>
    <w:rsid w:val="007B3B6C"/>
    <w:rsid w:val="007C0CAA"/>
    <w:rsid w:val="007E58BE"/>
    <w:rsid w:val="007E7847"/>
    <w:rsid w:val="007F7AA3"/>
    <w:rsid w:val="0081058A"/>
    <w:rsid w:val="00810D38"/>
    <w:rsid w:val="00817235"/>
    <w:rsid w:val="008204CA"/>
    <w:rsid w:val="0084212B"/>
    <w:rsid w:val="00847FAA"/>
    <w:rsid w:val="00850368"/>
    <w:rsid w:val="008550F7"/>
    <w:rsid w:val="0086105D"/>
    <w:rsid w:val="00872324"/>
    <w:rsid w:val="00882D05"/>
    <w:rsid w:val="00885FFF"/>
    <w:rsid w:val="00892D3D"/>
    <w:rsid w:val="0089606E"/>
    <w:rsid w:val="008A4703"/>
    <w:rsid w:val="008B2DC7"/>
    <w:rsid w:val="008B72EA"/>
    <w:rsid w:val="008C2F1D"/>
    <w:rsid w:val="008C3D9F"/>
    <w:rsid w:val="008C547E"/>
    <w:rsid w:val="008D0674"/>
    <w:rsid w:val="008E3DED"/>
    <w:rsid w:val="008F0AF3"/>
    <w:rsid w:val="008F297F"/>
    <w:rsid w:val="008F5B86"/>
    <w:rsid w:val="00927592"/>
    <w:rsid w:val="00931813"/>
    <w:rsid w:val="00932E04"/>
    <w:rsid w:val="00956A96"/>
    <w:rsid w:val="00967469"/>
    <w:rsid w:val="0097323F"/>
    <w:rsid w:val="00977C0A"/>
    <w:rsid w:val="009A1EA3"/>
    <w:rsid w:val="009C62E2"/>
    <w:rsid w:val="009D1500"/>
    <w:rsid w:val="009D28C5"/>
    <w:rsid w:val="009D4735"/>
    <w:rsid w:val="009D74E1"/>
    <w:rsid w:val="009E1058"/>
    <w:rsid w:val="00A14DA7"/>
    <w:rsid w:val="00A20BEC"/>
    <w:rsid w:val="00A21D84"/>
    <w:rsid w:val="00A434B2"/>
    <w:rsid w:val="00A53617"/>
    <w:rsid w:val="00A65BF4"/>
    <w:rsid w:val="00A71107"/>
    <w:rsid w:val="00A832C6"/>
    <w:rsid w:val="00A84DAD"/>
    <w:rsid w:val="00AA0392"/>
    <w:rsid w:val="00AA154C"/>
    <w:rsid w:val="00AA2888"/>
    <w:rsid w:val="00AA400D"/>
    <w:rsid w:val="00AA7D1B"/>
    <w:rsid w:val="00AB6EC8"/>
    <w:rsid w:val="00AD454B"/>
    <w:rsid w:val="00AE4265"/>
    <w:rsid w:val="00AE6927"/>
    <w:rsid w:val="00AF5DA4"/>
    <w:rsid w:val="00AF6CAB"/>
    <w:rsid w:val="00AF6F6C"/>
    <w:rsid w:val="00B00352"/>
    <w:rsid w:val="00B0584A"/>
    <w:rsid w:val="00B118E8"/>
    <w:rsid w:val="00B16F4C"/>
    <w:rsid w:val="00B25C10"/>
    <w:rsid w:val="00B425AA"/>
    <w:rsid w:val="00B44B7F"/>
    <w:rsid w:val="00B47D36"/>
    <w:rsid w:val="00B56340"/>
    <w:rsid w:val="00B56A28"/>
    <w:rsid w:val="00B62488"/>
    <w:rsid w:val="00B6767E"/>
    <w:rsid w:val="00B7380C"/>
    <w:rsid w:val="00B80FA4"/>
    <w:rsid w:val="00B859AE"/>
    <w:rsid w:val="00B866A3"/>
    <w:rsid w:val="00B95C53"/>
    <w:rsid w:val="00BA0012"/>
    <w:rsid w:val="00BB308B"/>
    <w:rsid w:val="00BC7C4B"/>
    <w:rsid w:val="00BD1B08"/>
    <w:rsid w:val="00BD3188"/>
    <w:rsid w:val="00BD72C5"/>
    <w:rsid w:val="00C011F1"/>
    <w:rsid w:val="00C07883"/>
    <w:rsid w:val="00C1586A"/>
    <w:rsid w:val="00C17840"/>
    <w:rsid w:val="00C31962"/>
    <w:rsid w:val="00C4403A"/>
    <w:rsid w:val="00C4408B"/>
    <w:rsid w:val="00C55B2C"/>
    <w:rsid w:val="00C57CC0"/>
    <w:rsid w:val="00C65036"/>
    <w:rsid w:val="00C72AA4"/>
    <w:rsid w:val="00C73488"/>
    <w:rsid w:val="00C74E5E"/>
    <w:rsid w:val="00C80CD0"/>
    <w:rsid w:val="00C8303D"/>
    <w:rsid w:val="00C87B81"/>
    <w:rsid w:val="00CA44AD"/>
    <w:rsid w:val="00CC1A4B"/>
    <w:rsid w:val="00CC30D1"/>
    <w:rsid w:val="00CD1C9E"/>
    <w:rsid w:val="00CD3AA6"/>
    <w:rsid w:val="00CD51B7"/>
    <w:rsid w:val="00CE2A08"/>
    <w:rsid w:val="00CF25EB"/>
    <w:rsid w:val="00D0097A"/>
    <w:rsid w:val="00D045EA"/>
    <w:rsid w:val="00D14907"/>
    <w:rsid w:val="00D16972"/>
    <w:rsid w:val="00D26E74"/>
    <w:rsid w:val="00D43CF0"/>
    <w:rsid w:val="00D4496C"/>
    <w:rsid w:val="00D51960"/>
    <w:rsid w:val="00D700C2"/>
    <w:rsid w:val="00D7553D"/>
    <w:rsid w:val="00D81796"/>
    <w:rsid w:val="00D867B7"/>
    <w:rsid w:val="00D90792"/>
    <w:rsid w:val="00D9418A"/>
    <w:rsid w:val="00D943FA"/>
    <w:rsid w:val="00DA2F4D"/>
    <w:rsid w:val="00DB580E"/>
    <w:rsid w:val="00DC004C"/>
    <w:rsid w:val="00DC591B"/>
    <w:rsid w:val="00DC7594"/>
    <w:rsid w:val="00DC766F"/>
    <w:rsid w:val="00DE4F73"/>
    <w:rsid w:val="00DE7BA9"/>
    <w:rsid w:val="00DF20B3"/>
    <w:rsid w:val="00E13353"/>
    <w:rsid w:val="00E3187D"/>
    <w:rsid w:val="00E4258B"/>
    <w:rsid w:val="00E45D78"/>
    <w:rsid w:val="00E6080D"/>
    <w:rsid w:val="00E87FC9"/>
    <w:rsid w:val="00E939FD"/>
    <w:rsid w:val="00E96CAB"/>
    <w:rsid w:val="00EA3A7F"/>
    <w:rsid w:val="00EC1088"/>
    <w:rsid w:val="00EC54D9"/>
    <w:rsid w:val="00ED11E7"/>
    <w:rsid w:val="00ED33BE"/>
    <w:rsid w:val="00ED3E7F"/>
    <w:rsid w:val="00EE2507"/>
    <w:rsid w:val="00EF0775"/>
    <w:rsid w:val="00EF5318"/>
    <w:rsid w:val="00F00C10"/>
    <w:rsid w:val="00F10F95"/>
    <w:rsid w:val="00F15F26"/>
    <w:rsid w:val="00F62EB9"/>
    <w:rsid w:val="00F8382D"/>
    <w:rsid w:val="00F87C4D"/>
    <w:rsid w:val="00F915D9"/>
    <w:rsid w:val="00F95ED8"/>
    <w:rsid w:val="00F96338"/>
    <w:rsid w:val="00F97530"/>
    <w:rsid w:val="00F97D0F"/>
    <w:rsid w:val="00FA51B6"/>
    <w:rsid w:val="00FB0CB7"/>
    <w:rsid w:val="00FB0DCE"/>
    <w:rsid w:val="00FB6032"/>
    <w:rsid w:val="00FB6C5A"/>
    <w:rsid w:val="00FD3590"/>
    <w:rsid w:val="00FD36C1"/>
    <w:rsid w:val="00FD6EDA"/>
    <w:rsid w:val="00FE23C5"/>
    <w:rsid w:val="00FE56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D"/>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uiPriority w:val="9"/>
    <w:qFormat/>
    <w:rsid w:val="0039093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39093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87C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87C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6105D"/>
    <w:rPr>
      <w:b/>
      <w:sz w:val="20"/>
      <w:szCs w:val="20"/>
    </w:rPr>
  </w:style>
  <w:style w:type="character" w:customStyle="1" w:styleId="CommentTextChar">
    <w:name w:val="Comment Text Char"/>
    <w:link w:val="CommentText"/>
    <w:uiPriority w:val="99"/>
    <w:rsid w:val="0086105D"/>
    <w:rPr>
      <w:rFonts w:eastAsia="Times New Roman"/>
      <w:b/>
      <w:sz w:val="20"/>
      <w:szCs w:val="20"/>
      <w:lang w:bidi="en-US"/>
    </w:rPr>
  </w:style>
  <w:style w:type="character" w:styleId="CommentReference">
    <w:name w:val="annotation reference"/>
    <w:uiPriority w:val="99"/>
    <w:semiHidden/>
    <w:unhideWhenUsed/>
    <w:rsid w:val="0086105D"/>
    <w:rPr>
      <w:sz w:val="16"/>
      <w:szCs w:val="16"/>
    </w:rPr>
  </w:style>
  <w:style w:type="table" w:styleId="TableGrid">
    <w:name w:val="Table Grid"/>
    <w:basedOn w:val="TableNormal"/>
    <w:uiPriority w:val="59"/>
    <w:rsid w:val="0086105D"/>
    <w:rPr>
      <w:rFonts w:eastAsia="Times New Roman"/>
      <w:sz w:val="24"/>
      <w:szCs w:val="24"/>
      <w:lang w:eastAsia="ja-JP"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0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105D"/>
    <w:rPr>
      <w:rFonts w:ascii="Tahoma" w:eastAsia="Times New Roman" w:hAnsi="Tahoma" w:cs="Tahoma"/>
      <w:sz w:val="16"/>
      <w:szCs w:val="16"/>
      <w:lang w:bidi="en-US"/>
    </w:rPr>
  </w:style>
  <w:style w:type="character" w:customStyle="1" w:styleId="Heading1Char">
    <w:name w:val="Heading 1 Char"/>
    <w:link w:val="Heading1"/>
    <w:uiPriority w:val="9"/>
    <w:rsid w:val="0039093E"/>
    <w:rPr>
      <w:rFonts w:ascii="Cambria" w:eastAsia="Times New Roman" w:hAnsi="Cambria" w:cs="Times New Roman"/>
      <w:b/>
      <w:bCs/>
      <w:color w:val="365F91"/>
      <w:sz w:val="28"/>
      <w:szCs w:val="28"/>
      <w:lang w:bidi="en-US"/>
    </w:rPr>
  </w:style>
  <w:style w:type="character" w:customStyle="1" w:styleId="Heading2Char">
    <w:name w:val="Heading 2 Char"/>
    <w:link w:val="Heading2"/>
    <w:uiPriority w:val="9"/>
    <w:rsid w:val="0039093E"/>
    <w:rPr>
      <w:rFonts w:ascii="Cambria" w:eastAsia="Times New Roman" w:hAnsi="Cambria" w:cs="Times New Roman"/>
      <w:b/>
      <w:bCs/>
      <w:color w:val="4F81BD"/>
      <w:sz w:val="26"/>
      <w:szCs w:val="26"/>
      <w:lang w:bidi="en-US"/>
    </w:rPr>
  </w:style>
  <w:style w:type="paragraph" w:styleId="CommentSubject">
    <w:name w:val="annotation subject"/>
    <w:basedOn w:val="CommentText"/>
    <w:next w:val="CommentText"/>
    <w:link w:val="CommentSubjectChar"/>
    <w:uiPriority w:val="99"/>
    <w:semiHidden/>
    <w:unhideWhenUsed/>
    <w:rsid w:val="00ED33BE"/>
    <w:rPr>
      <w:bCs/>
    </w:rPr>
  </w:style>
  <w:style w:type="character" w:customStyle="1" w:styleId="CommentSubjectChar">
    <w:name w:val="Comment Subject Char"/>
    <w:link w:val="CommentSubject"/>
    <w:uiPriority w:val="99"/>
    <w:semiHidden/>
    <w:rsid w:val="00ED33BE"/>
    <w:rPr>
      <w:rFonts w:eastAsia="Times New Roman"/>
      <w:b/>
      <w:bCs/>
      <w:sz w:val="20"/>
      <w:szCs w:val="20"/>
      <w:lang w:val="en-US" w:eastAsia="en-US" w:bidi="en-US"/>
    </w:rPr>
  </w:style>
  <w:style w:type="paragraph" w:customStyle="1" w:styleId="ColorfulShading-Accent31">
    <w:name w:val="Colorful Shading - Accent 31"/>
    <w:basedOn w:val="Normal"/>
    <w:uiPriority w:val="34"/>
    <w:qFormat/>
    <w:rsid w:val="00B00352"/>
    <w:pPr>
      <w:autoSpaceDE w:val="0"/>
      <w:autoSpaceDN w:val="0"/>
      <w:spacing w:after="120" w:line="320" w:lineRule="atLeast"/>
      <w:ind w:left="720"/>
      <w:contextualSpacing/>
      <w:jc w:val="both"/>
    </w:pPr>
    <w:rPr>
      <w:rFonts w:ascii="Times New Roman" w:eastAsia="PMingLiU" w:hAnsi="Times New Roman"/>
      <w:b/>
      <w:sz w:val="28"/>
      <w:szCs w:val="28"/>
      <w:lang w:val="en-AU" w:eastAsia="es-ES" w:bidi="ar-SA"/>
    </w:rPr>
  </w:style>
  <w:style w:type="paragraph" w:styleId="Footer">
    <w:name w:val="footer"/>
    <w:basedOn w:val="Normal"/>
    <w:link w:val="FooterChar"/>
    <w:uiPriority w:val="99"/>
    <w:unhideWhenUsed/>
    <w:rsid w:val="00A20BEC"/>
    <w:pPr>
      <w:tabs>
        <w:tab w:val="center" w:pos="4320"/>
        <w:tab w:val="right" w:pos="8640"/>
      </w:tabs>
    </w:pPr>
  </w:style>
  <w:style w:type="character" w:customStyle="1" w:styleId="FooterChar">
    <w:name w:val="Footer Char"/>
    <w:link w:val="Footer"/>
    <w:uiPriority w:val="99"/>
    <w:rsid w:val="00A20BEC"/>
    <w:rPr>
      <w:rFonts w:eastAsia="Times New Roman"/>
      <w:sz w:val="22"/>
      <w:szCs w:val="22"/>
      <w:lang w:bidi="en-US"/>
    </w:rPr>
  </w:style>
  <w:style w:type="character" w:styleId="PageNumber">
    <w:name w:val="page number"/>
    <w:uiPriority w:val="99"/>
    <w:semiHidden/>
    <w:unhideWhenUsed/>
    <w:rsid w:val="00A20BEC"/>
  </w:style>
  <w:style w:type="paragraph" w:styleId="FootnoteText">
    <w:name w:val="footnote text"/>
    <w:basedOn w:val="Normal"/>
    <w:link w:val="FootnoteTextChar"/>
    <w:uiPriority w:val="99"/>
    <w:unhideWhenUsed/>
    <w:rsid w:val="003B688D"/>
    <w:rPr>
      <w:sz w:val="20"/>
      <w:szCs w:val="20"/>
    </w:rPr>
  </w:style>
  <w:style w:type="character" w:customStyle="1" w:styleId="FootnoteTextChar">
    <w:name w:val="Footnote Text Char"/>
    <w:link w:val="FootnoteText"/>
    <w:uiPriority w:val="99"/>
    <w:rsid w:val="003B688D"/>
    <w:rPr>
      <w:rFonts w:eastAsia="Times New Roman"/>
      <w:lang w:val="en-US" w:eastAsia="en-US" w:bidi="en-US"/>
    </w:rPr>
  </w:style>
  <w:style w:type="character" w:styleId="FootnoteReference">
    <w:name w:val="footnote reference"/>
    <w:uiPriority w:val="99"/>
    <w:semiHidden/>
    <w:unhideWhenUsed/>
    <w:rsid w:val="003B688D"/>
    <w:rPr>
      <w:vertAlign w:val="superscript"/>
    </w:rPr>
  </w:style>
  <w:style w:type="character" w:customStyle="1" w:styleId="Heading3Char">
    <w:name w:val="Heading 3 Char"/>
    <w:link w:val="Heading3"/>
    <w:uiPriority w:val="9"/>
    <w:rsid w:val="00F87C4D"/>
    <w:rPr>
      <w:rFonts w:ascii="Cambria" w:eastAsia="Times New Roman" w:hAnsi="Cambria" w:cs="Times New Roman"/>
      <w:b/>
      <w:bCs/>
      <w:sz w:val="26"/>
      <w:szCs w:val="26"/>
      <w:lang w:val="en-US" w:eastAsia="en-US" w:bidi="en-US"/>
    </w:rPr>
  </w:style>
  <w:style w:type="character" w:customStyle="1" w:styleId="Heading4Char">
    <w:name w:val="Heading 4 Char"/>
    <w:link w:val="Heading4"/>
    <w:uiPriority w:val="9"/>
    <w:rsid w:val="00F87C4D"/>
    <w:rPr>
      <w:rFonts w:ascii="Calibri" w:eastAsia="Times New Roman" w:hAnsi="Calibri" w:cs="Times New Roman"/>
      <w:b/>
      <w:bCs/>
      <w:sz w:val="28"/>
      <w:szCs w:val="28"/>
      <w:lang w:val="en-US" w:eastAsia="en-US" w:bidi="en-US"/>
    </w:rPr>
  </w:style>
  <w:style w:type="character" w:styleId="Hyperlink">
    <w:name w:val="Hyperlink"/>
    <w:uiPriority w:val="99"/>
    <w:unhideWhenUsed/>
    <w:rsid w:val="00B25C10"/>
    <w:rPr>
      <w:color w:val="0000FF"/>
      <w:u w:val="single"/>
    </w:rPr>
  </w:style>
  <w:style w:type="character" w:styleId="FollowedHyperlink">
    <w:name w:val="FollowedHyperlink"/>
    <w:uiPriority w:val="99"/>
    <w:semiHidden/>
    <w:unhideWhenUsed/>
    <w:rsid w:val="00B25C10"/>
    <w:rPr>
      <w:color w:val="800080"/>
      <w:u w:val="single"/>
    </w:rPr>
  </w:style>
  <w:style w:type="character" w:styleId="Emphasis">
    <w:name w:val="Emphasis"/>
    <w:uiPriority w:val="20"/>
    <w:qFormat/>
    <w:rsid w:val="0074124F"/>
    <w:rPr>
      <w:i/>
      <w:iCs/>
    </w:rPr>
  </w:style>
  <w:style w:type="paragraph" w:customStyle="1" w:styleId="MediumList2-Accent21">
    <w:name w:val="Medium List 2 - Accent 21"/>
    <w:hidden/>
    <w:uiPriority w:val="71"/>
    <w:rsid w:val="003F7775"/>
    <w:rPr>
      <w:rFonts w:eastAsia="Times New Roman"/>
      <w:sz w:val="22"/>
      <w:szCs w:val="22"/>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5D"/>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uiPriority w:val="9"/>
    <w:qFormat/>
    <w:rsid w:val="0039093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39093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87C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87C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6105D"/>
    <w:rPr>
      <w:b/>
      <w:sz w:val="20"/>
      <w:szCs w:val="20"/>
    </w:rPr>
  </w:style>
  <w:style w:type="character" w:customStyle="1" w:styleId="CommentTextChar">
    <w:name w:val="Comment Text Char"/>
    <w:link w:val="CommentText"/>
    <w:uiPriority w:val="99"/>
    <w:rsid w:val="0086105D"/>
    <w:rPr>
      <w:rFonts w:eastAsia="Times New Roman"/>
      <w:b/>
      <w:sz w:val="20"/>
      <w:szCs w:val="20"/>
      <w:lang w:bidi="en-US"/>
    </w:rPr>
  </w:style>
  <w:style w:type="character" w:styleId="CommentReference">
    <w:name w:val="annotation reference"/>
    <w:uiPriority w:val="99"/>
    <w:semiHidden/>
    <w:unhideWhenUsed/>
    <w:rsid w:val="0086105D"/>
    <w:rPr>
      <w:sz w:val="16"/>
      <w:szCs w:val="16"/>
    </w:rPr>
  </w:style>
  <w:style w:type="table" w:styleId="TableGrid">
    <w:name w:val="Table Grid"/>
    <w:basedOn w:val="TableNormal"/>
    <w:uiPriority w:val="59"/>
    <w:rsid w:val="0086105D"/>
    <w:rPr>
      <w:rFonts w:eastAsia="Times New Roman"/>
      <w:sz w:val="24"/>
      <w:szCs w:val="24"/>
      <w:lang w:eastAsia="ja-JP"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0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105D"/>
    <w:rPr>
      <w:rFonts w:ascii="Tahoma" w:eastAsia="Times New Roman" w:hAnsi="Tahoma" w:cs="Tahoma"/>
      <w:sz w:val="16"/>
      <w:szCs w:val="16"/>
      <w:lang w:bidi="en-US"/>
    </w:rPr>
  </w:style>
  <w:style w:type="character" w:customStyle="1" w:styleId="Heading1Char">
    <w:name w:val="Heading 1 Char"/>
    <w:link w:val="Heading1"/>
    <w:uiPriority w:val="9"/>
    <w:rsid w:val="0039093E"/>
    <w:rPr>
      <w:rFonts w:ascii="Cambria" w:eastAsia="Times New Roman" w:hAnsi="Cambria" w:cs="Times New Roman"/>
      <w:b/>
      <w:bCs/>
      <w:color w:val="365F91"/>
      <w:sz w:val="28"/>
      <w:szCs w:val="28"/>
      <w:lang w:bidi="en-US"/>
    </w:rPr>
  </w:style>
  <w:style w:type="character" w:customStyle="1" w:styleId="Heading2Char">
    <w:name w:val="Heading 2 Char"/>
    <w:link w:val="Heading2"/>
    <w:uiPriority w:val="9"/>
    <w:rsid w:val="0039093E"/>
    <w:rPr>
      <w:rFonts w:ascii="Cambria" w:eastAsia="Times New Roman" w:hAnsi="Cambria" w:cs="Times New Roman"/>
      <w:b/>
      <w:bCs/>
      <w:color w:val="4F81BD"/>
      <w:sz w:val="26"/>
      <w:szCs w:val="26"/>
      <w:lang w:bidi="en-US"/>
    </w:rPr>
  </w:style>
  <w:style w:type="paragraph" w:styleId="CommentSubject">
    <w:name w:val="annotation subject"/>
    <w:basedOn w:val="CommentText"/>
    <w:next w:val="CommentText"/>
    <w:link w:val="CommentSubjectChar"/>
    <w:uiPriority w:val="99"/>
    <w:semiHidden/>
    <w:unhideWhenUsed/>
    <w:rsid w:val="00ED33BE"/>
    <w:rPr>
      <w:bCs/>
    </w:rPr>
  </w:style>
  <w:style w:type="character" w:customStyle="1" w:styleId="CommentSubjectChar">
    <w:name w:val="Comment Subject Char"/>
    <w:link w:val="CommentSubject"/>
    <w:uiPriority w:val="99"/>
    <w:semiHidden/>
    <w:rsid w:val="00ED33BE"/>
    <w:rPr>
      <w:rFonts w:eastAsia="Times New Roman"/>
      <w:b/>
      <w:bCs/>
      <w:sz w:val="20"/>
      <w:szCs w:val="20"/>
      <w:lang w:val="en-US" w:eastAsia="en-US" w:bidi="en-US"/>
    </w:rPr>
  </w:style>
  <w:style w:type="paragraph" w:customStyle="1" w:styleId="ColorfulShading-Accent31">
    <w:name w:val="Colorful Shading - Accent 31"/>
    <w:basedOn w:val="Normal"/>
    <w:uiPriority w:val="34"/>
    <w:qFormat/>
    <w:rsid w:val="00B00352"/>
    <w:pPr>
      <w:autoSpaceDE w:val="0"/>
      <w:autoSpaceDN w:val="0"/>
      <w:spacing w:after="120" w:line="320" w:lineRule="atLeast"/>
      <w:ind w:left="720"/>
      <w:contextualSpacing/>
      <w:jc w:val="both"/>
    </w:pPr>
    <w:rPr>
      <w:rFonts w:ascii="Times New Roman" w:eastAsia="PMingLiU" w:hAnsi="Times New Roman"/>
      <w:b/>
      <w:sz w:val="28"/>
      <w:szCs w:val="28"/>
      <w:lang w:val="en-AU" w:eastAsia="es-ES" w:bidi="ar-SA"/>
    </w:rPr>
  </w:style>
  <w:style w:type="paragraph" w:styleId="Footer">
    <w:name w:val="footer"/>
    <w:basedOn w:val="Normal"/>
    <w:link w:val="FooterChar"/>
    <w:uiPriority w:val="99"/>
    <w:unhideWhenUsed/>
    <w:rsid w:val="00A20BEC"/>
    <w:pPr>
      <w:tabs>
        <w:tab w:val="center" w:pos="4320"/>
        <w:tab w:val="right" w:pos="8640"/>
      </w:tabs>
    </w:pPr>
  </w:style>
  <w:style w:type="character" w:customStyle="1" w:styleId="FooterChar">
    <w:name w:val="Footer Char"/>
    <w:link w:val="Footer"/>
    <w:uiPriority w:val="99"/>
    <w:rsid w:val="00A20BEC"/>
    <w:rPr>
      <w:rFonts w:eastAsia="Times New Roman"/>
      <w:sz w:val="22"/>
      <w:szCs w:val="22"/>
      <w:lang w:bidi="en-US"/>
    </w:rPr>
  </w:style>
  <w:style w:type="character" w:styleId="PageNumber">
    <w:name w:val="page number"/>
    <w:uiPriority w:val="99"/>
    <w:semiHidden/>
    <w:unhideWhenUsed/>
    <w:rsid w:val="00A20BEC"/>
  </w:style>
  <w:style w:type="paragraph" w:styleId="FootnoteText">
    <w:name w:val="footnote text"/>
    <w:basedOn w:val="Normal"/>
    <w:link w:val="FootnoteTextChar"/>
    <w:uiPriority w:val="99"/>
    <w:unhideWhenUsed/>
    <w:rsid w:val="003B688D"/>
    <w:rPr>
      <w:sz w:val="20"/>
      <w:szCs w:val="20"/>
    </w:rPr>
  </w:style>
  <w:style w:type="character" w:customStyle="1" w:styleId="FootnoteTextChar">
    <w:name w:val="Footnote Text Char"/>
    <w:link w:val="FootnoteText"/>
    <w:uiPriority w:val="99"/>
    <w:rsid w:val="003B688D"/>
    <w:rPr>
      <w:rFonts w:eastAsia="Times New Roman"/>
      <w:lang w:val="en-US" w:eastAsia="en-US" w:bidi="en-US"/>
    </w:rPr>
  </w:style>
  <w:style w:type="character" w:styleId="FootnoteReference">
    <w:name w:val="footnote reference"/>
    <w:uiPriority w:val="99"/>
    <w:semiHidden/>
    <w:unhideWhenUsed/>
    <w:rsid w:val="003B688D"/>
    <w:rPr>
      <w:vertAlign w:val="superscript"/>
    </w:rPr>
  </w:style>
  <w:style w:type="character" w:customStyle="1" w:styleId="Heading3Char">
    <w:name w:val="Heading 3 Char"/>
    <w:link w:val="Heading3"/>
    <w:uiPriority w:val="9"/>
    <w:rsid w:val="00F87C4D"/>
    <w:rPr>
      <w:rFonts w:ascii="Cambria" w:eastAsia="Times New Roman" w:hAnsi="Cambria" w:cs="Times New Roman"/>
      <w:b/>
      <w:bCs/>
      <w:sz w:val="26"/>
      <w:szCs w:val="26"/>
      <w:lang w:val="en-US" w:eastAsia="en-US" w:bidi="en-US"/>
    </w:rPr>
  </w:style>
  <w:style w:type="character" w:customStyle="1" w:styleId="Heading4Char">
    <w:name w:val="Heading 4 Char"/>
    <w:link w:val="Heading4"/>
    <w:uiPriority w:val="9"/>
    <w:rsid w:val="00F87C4D"/>
    <w:rPr>
      <w:rFonts w:ascii="Calibri" w:eastAsia="Times New Roman" w:hAnsi="Calibri" w:cs="Times New Roman"/>
      <w:b/>
      <w:bCs/>
      <w:sz w:val="28"/>
      <w:szCs w:val="28"/>
      <w:lang w:val="en-US" w:eastAsia="en-US" w:bidi="en-US"/>
    </w:rPr>
  </w:style>
  <w:style w:type="character" w:styleId="Hyperlink">
    <w:name w:val="Hyperlink"/>
    <w:uiPriority w:val="99"/>
    <w:unhideWhenUsed/>
    <w:rsid w:val="00B25C10"/>
    <w:rPr>
      <w:color w:val="0000FF"/>
      <w:u w:val="single"/>
    </w:rPr>
  </w:style>
  <w:style w:type="character" w:styleId="FollowedHyperlink">
    <w:name w:val="FollowedHyperlink"/>
    <w:uiPriority w:val="99"/>
    <w:semiHidden/>
    <w:unhideWhenUsed/>
    <w:rsid w:val="00B25C10"/>
    <w:rPr>
      <w:color w:val="800080"/>
      <w:u w:val="single"/>
    </w:rPr>
  </w:style>
  <w:style w:type="character" w:styleId="Emphasis">
    <w:name w:val="Emphasis"/>
    <w:uiPriority w:val="20"/>
    <w:qFormat/>
    <w:rsid w:val="0074124F"/>
    <w:rPr>
      <w:i/>
      <w:iCs/>
    </w:rPr>
  </w:style>
  <w:style w:type="paragraph" w:customStyle="1" w:styleId="MediumList2-Accent21">
    <w:name w:val="Medium List 2 - Accent 21"/>
    <w:hidden/>
    <w:uiPriority w:val="71"/>
    <w:rsid w:val="003F7775"/>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17531593">
      <w:bodyDiv w:val="1"/>
      <w:marLeft w:val="0"/>
      <w:marRight w:val="0"/>
      <w:marTop w:val="0"/>
      <w:marBottom w:val="0"/>
      <w:divBdr>
        <w:top w:val="none" w:sz="0" w:space="0" w:color="auto"/>
        <w:left w:val="none" w:sz="0" w:space="0" w:color="auto"/>
        <w:bottom w:val="none" w:sz="0" w:space="0" w:color="auto"/>
        <w:right w:val="none" w:sz="0" w:space="0" w:color="auto"/>
      </w:divBdr>
      <w:divsChild>
        <w:div w:id="70853771">
          <w:marLeft w:val="1166"/>
          <w:marRight w:val="0"/>
          <w:marTop w:val="96"/>
          <w:marBottom w:val="0"/>
          <w:divBdr>
            <w:top w:val="none" w:sz="0" w:space="0" w:color="auto"/>
            <w:left w:val="none" w:sz="0" w:space="0" w:color="auto"/>
            <w:bottom w:val="none" w:sz="0" w:space="0" w:color="auto"/>
            <w:right w:val="none" w:sz="0" w:space="0" w:color="auto"/>
          </w:divBdr>
        </w:div>
      </w:divsChild>
    </w:div>
    <w:div w:id="795830749">
      <w:bodyDiv w:val="1"/>
      <w:marLeft w:val="0"/>
      <w:marRight w:val="0"/>
      <w:marTop w:val="0"/>
      <w:marBottom w:val="0"/>
      <w:divBdr>
        <w:top w:val="none" w:sz="0" w:space="0" w:color="auto"/>
        <w:left w:val="none" w:sz="0" w:space="0" w:color="auto"/>
        <w:bottom w:val="none" w:sz="0" w:space="0" w:color="auto"/>
        <w:right w:val="none" w:sz="0" w:space="0" w:color="auto"/>
      </w:divBdr>
      <w:divsChild>
        <w:div w:id="65301466">
          <w:marLeft w:val="0"/>
          <w:marRight w:val="0"/>
          <w:marTop w:val="0"/>
          <w:marBottom w:val="0"/>
          <w:divBdr>
            <w:top w:val="none" w:sz="0" w:space="0" w:color="auto"/>
            <w:left w:val="none" w:sz="0" w:space="0" w:color="auto"/>
            <w:bottom w:val="none" w:sz="0" w:space="0" w:color="auto"/>
            <w:right w:val="none" w:sz="0" w:space="0" w:color="auto"/>
          </w:divBdr>
        </w:div>
        <w:div w:id="239681127">
          <w:marLeft w:val="0"/>
          <w:marRight w:val="0"/>
          <w:marTop w:val="0"/>
          <w:marBottom w:val="0"/>
          <w:divBdr>
            <w:top w:val="none" w:sz="0" w:space="0" w:color="auto"/>
            <w:left w:val="none" w:sz="0" w:space="0" w:color="auto"/>
            <w:bottom w:val="none" w:sz="0" w:space="0" w:color="auto"/>
            <w:right w:val="none" w:sz="0" w:space="0" w:color="auto"/>
          </w:divBdr>
        </w:div>
        <w:div w:id="242374055">
          <w:marLeft w:val="0"/>
          <w:marRight w:val="0"/>
          <w:marTop w:val="0"/>
          <w:marBottom w:val="0"/>
          <w:divBdr>
            <w:top w:val="none" w:sz="0" w:space="0" w:color="auto"/>
            <w:left w:val="none" w:sz="0" w:space="0" w:color="auto"/>
            <w:bottom w:val="none" w:sz="0" w:space="0" w:color="auto"/>
            <w:right w:val="none" w:sz="0" w:space="0" w:color="auto"/>
          </w:divBdr>
        </w:div>
        <w:div w:id="298002075">
          <w:marLeft w:val="0"/>
          <w:marRight w:val="0"/>
          <w:marTop w:val="0"/>
          <w:marBottom w:val="0"/>
          <w:divBdr>
            <w:top w:val="none" w:sz="0" w:space="0" w:color="auto"/>
            <w:left w:val="none" w:sz="0" w:space="0" w:color="auto"/>
            <w:bottom w:val="none" w:sz="0" w:space="0" w:color="auto"/>
            <w:right w:val="none" w:sz="0" w:space="0" w:color="auto"/>
          </w:divBdr>
        </w:div>
        <w:div w:id="389351949">
          <w:marLeft w:val="0"/>
          <w:marRight w:val="0"/>
          <w:marTop w:val="0"/>
          <w:marBottom w:val="0"/>
          <w:divBdr>
            <w:top w:val="none" w:sz="0" w:space="0" w:color="auto"/>
            <w:left w:val="none" w:sz="0" w:space="0" w:color="auto"/>
            <w:bottom w:val="none" w:sz="0" w:space="0" w:color="auto"/>
            <w:right w:val="none" w:sz="0" w:space="0" w:color="auto"/>
          </w:divBdr>
        </w:div>
        <w:div w:id="515968946">
          <w:marLeft w:val="0"/>
          <w:marRight w:val="0"/>
          <w:marTop w:val="0"/>
          <w:marBottom w:val="0"/>
          <w:divBdr>
            <w:top w:val="none" w:sz="0" w:space="0" w:color="auto"/>
            <w:left w:val="none" w:sz="0" w:space="0" w:color="auto"/>
            <w:bottom w:val="none" w:sz="0" w:space="0" w:color="auto"/>
            <w:right w:val="none" w:sz="0" w:space="0" w:color="auto"/>
          </w:divBdr>
        </w:div>
        <w:div w:id="745491302">
          <w:marLeft w:val="0"/>
          <w:marRight w:val="0"/>
          <w:marTop w:val="0"/>
          <w:marBottom w:val="0"/>
          <w:divBdr>
            <w:top w:val="none" w:sz="0" w:space="0" w:color="auto"/>
            <w:left w:val="none" w:sz="0" w:space="0" w:color="auto"/>
            <w:bottom w:val="none" w:sz="0" w:space="0" w:color="auto"/>
            <w:right w:val="none" w:sz="0" w:space="0" w:color="auto"/>
          </w:divBdr>
        </w:div>
        <w:div w:id="104675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8C9D8-2120-423D-A2A7-B387B4FB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8259</Words>
  <Characters>47081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AnneW</dc:creator>
  <cp:lastModifiedBy>Anne</cp:lastModifiedBy>
  <cp:revision>2</cp:revision>
  <cp:lastPrinted>2013-07-10T15:00:00Z</cp:lastPrinted>
  <dcterms:created xsi:type="dcterms:W3CDTF">2014-03-25T08:12:00Z</dcterms:created>
  <dcterms:modified xsi:type="dcterms:W3CDTF">2014-03-25T08:12:00Z</dcterms:modified>
</cp:coreProperties>
</file>