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820" w:type="dxa"/>
        <w:tblInd w:w="8" w:type="dxa"/>
        <w:tblLayout w:type="fixed"/>
        <w:tblCellMar>
          <w:left w:w="0" w:type="dxa"/>
          <w:right w:w="0" w:type="dxa"/>
        </w:tblCellMar>
        <w:tblLook w:val="0000"/>
      </w:tblPr>
      <w:tblGrid>
        <w:gridCol w:w="1108"/>
        <w:gridCol w:w="5712"/>
      </w:tblGrid>
      <w:tr w:rsidR="004A4B29">
        <w:tblPrEx>
          <w:tblCellMar>
            <w:top w:w="0" w:type="dxa"/>
            <w:left w:w="0" w:type="dxa"/>
            <w:bottom w:w="0" w:type="dxa"/>
            <w:right w:w="0" w:type="dxa"/>
          </w:tblCellMar>
        </w:tblPrEx>
        <w:tc>
          <w:tcPr>
            <w:tcW w:w="1108" w:type="dxa"/>
          </w:tcPr>
          <w:p w:rsidR="004A4B29" w:rsidRDefault="004A4B29" w:rsidP="00BB6FF6">
            <w:pPr>
              <w:pStyle w:val="CN"/>
            </w:pPr>
            <w:r>
              <w:t>Chapter</w:t>
            </w:r>
          </w:p>
        </w:tc>
        <w:tc>
          <w:tcPr>
            <w:tcW w:w="5712" w:type="dxa"/>
          </w:tcPr>
          <w:p w:rsidR="00CF695D" w:rsidRDefault="00CF695D" w:rsidP="00CF695D">
            <w:pPr>
              <w:rPr>
                <w:color w:val="000000"/>
              </w:rPr>
            </w:pPr>
            <w:r>
              <w:rPr>
                <w:rFonts w:ascii="Arial" w:hAnsi="Arial" w:cs="Arial"/>
                <w:color w:val="5C5B5B"/>
              </w:rPr>
              <w:t xml:space="preserve">Watson, A. &amp; Bills, L. (2010) </w:t>
            </w:r>
            <w:r>
              <w:rPr>
                <w:color w:val="000000"/>
              </w:rPr>
              <w:t xml:space="preserve">Working mathematically on teaching mathematics: Preparing graduates to teach secondary mathematics. In O. </w:t>
            </w:r>
            <w:proofErr w:type="spellStart"/>
            <w:r>
              <w:rPr>
                <w:color w:val="000000"/>
              </w:rPr>
              <w:t>Zaslavsky</w:t>
            </w:r>
            <w:proofErr w:type="spellEnd"/>
            <w:r>
              <w:rPr>
                <w:color w:val="000000"/>
              </w:rPr>
              <w:t xml:space="preserve"> &amp; </w:t>
            </w:r>
            <w:proofErr w:type="spellStart"/>
            <w:r>
              <w:rPr>
                <w:color w:val="000000"/>
              </w:rPr>
              <w:t>P.Sullivan</w:t>
            </w:r>
            <w:proofErr w:type="spellEnd"/>
            <w:r>
              <w:rPr>
                <w:color w:val="000000"/>
              </w:rPr>
              <w:t xml:space="preserve"> (eds.) </w:t>
            </w:r>
            <w:r w:rsidRPr="00A23F29">
              <w:rPr>
                <w:i/>
                <w:color w:val="000000"/>
              </w:rPr>
              <w:t>Constructing knowledge for teaching secondary mathematics: tasks to enhance prospective and practicing teacher learning.</w:t>
            </w:r>
            <w:r>
              <w:rPr>
                <w:color w:val="000000"/>
              </w:rPr>
              <w:t xml:space="preserve">  NY: Springer.pp.89-102</w:t>
            </w:r>
          </w:p>
          <w:p w:rsidR="004A4B29" w:rsidRDefault="004A4B29" w:rsidP="00BB6FF6">
            <w:pPr>
              <w:pStyle w:val="ChapterNo"/>
            </w:pPr>
          </w:p>
        </w:tc>
      </w:tr>
      <w:tr w:rsidR="004A4B29">
        <w:tblPrEx>
          <w:tblCellMar>
            <w:top w:w="0" w:type="dxa"/>
            <w:left w:w="0" w:type="dxa"/>
            <w:bottom w:w="0" w:type="dxa"/>
            <w:right w:w="0" w:type="dxa"/>
          </w:tblCellMar>
        </w:tblPrEx>
        <w:tc>
          <w:tcPr>
            <w:tcW w:w="6820" w:type="dxa"/>
            <w:gridSpan w:val="2"/>
          </w:tcPr>
          <w:p w:rsidR="004A4B29" w:rsidRDefault="004A4B29" w:rsidP="00BB6FF6">
            <w:pPr>
              <w:pStyle w:val="Title"/>
            </w:pPr>
            <w:r>
              <w:t>WORKING MATHEMATICALLY ON TEACHING MATHEMATICS</w:t>
            </w:r>
          </w:p>
        </w:tc>
      </w:tr>
      <w:tr w:rsidR="004A4B29">
        <w:tblPrEx>
          <w:tblCellMar>
            <w:top w:w="0" w:type="dxa"/>
            <w:left w:w="0" w:type="dxa"/>
            <w:bottom w:w="0" w:type="dxa"/>
            <w:right w:w="0" w:type="dxa"/>
          </w:tblCellMar>
        </w:tblPrEx>
        <w:tc>
          <w:tcPr>
            <w:tcW w:w="6820" w:type="dxa"/>
            <w:gridSpan w:val="2"/>
          </w:tcPr>
          <w:p w:rsidR="004A4B29" w:rsidRDefault="004A4B29" w:rsidP="00BB6FF6">
            <w:pPr>
              <w:pStyle w:val="Subtitle"/>
            </w:pPr>
            <w:r>
              <w:t>Preparing graduates to teach secondary mathematics</w:t>
            </w:r>
          </w:p>
        </w:tc>
      </w:tr>
      <w:tr w:rsidR="004A4B29">
        <w:tblPrEx>
          <w:tblCellMar>
            <w:top w:w="0" w:type="dxa"/>
            <w:left w:w="0" w:type="dxa"/>
            <w:bottom w:w="0" w:type="dxa"/>
            <w:right w:w="0" w:type="dxa"/>
          </w:tblCellMar>
        </w:tblPrEx>
        <w:tc>
          <w:tcPr>
            <w:tcW w:w="6820" w:type="dxa"/>
            <w:gridSpan w:val="2"/>
          </w:tcPr>
          <w:p w:rsidR="004A4B29" w:rsidRDefault="004A4B29" w:rsidP="00BB6FF6">
            <w:pPr>
              <w:pStyle w:val="Author"/>
            </w:pPr>
            <w:r>
              <w:t>ANNE WATSON and LIZ BILLS</w:t>
            </w:r>
          </w:p>
        </w:tc>
      </w:tr>
      <w:tr w:rsidR="004A4B29">
        <w:tblPrEx>
          <w:tblCellMar>
            <w:top w:w="0" w:type="dxa"/>
            <w:left w:w="0" w:type="dxa"/>
            <w:bottom w:w="0" w:type="dxa"/>
            <w:right w:w="0" w:type="dxa"/>
          </w:tblCellMar>
        </w:tblPrEx>
        <w:tc>
          <w:tcPr>
            <w:tcW w:w="6820" w:type="dxa"/>
            <w:gridSpan w:val="2"/>
          </w:tcPr>
          <w:p w:rsidR="004A4B29" w:rsidRDefault="004A4B29" w:rsidP="004A4B29">
            <w:pPr>
              <w:ind w:firstLine="0"/>
              <w:rPr>
                <w:i/>
                <w:lang w:val="en-GB"/>
              </w:rPr>
            </w:pPr>
            <w:r>
              <w:rPr>
                <w:i/>
                <w:lang w:val="en-GB"/>
              </w:rPr>
              <w:t xml:space="preserve">University of Oxford Department of Education, </w:t>
            </w:r>
            <w:r w:rsidR="00F23C07">
              <w:rPr>
                <w:i/>
                <w:lang w:val="en-GB"/>
              </w:rPr>
              <w:t>Oxford, UK</w:t>
            </w:r>
          </w:p>
          <w:p w:rsidR="00F23C07" w:rsidRDefault="00F23C07" w:rsidP="004A4B29">
            <w:pPr>
              <w:ind w:firstLine="0"/>
              <w:rPr>
                <w:lang w:val="en-GB"/>
              </w:rPr>
            </w:pPr>
            <w:r>
              <w:rPr>
                <w:i/>
                <w:lang w:val="en-GB"/>
              </w:rPr>
              <w:t>anne.watson@education.ox.ac.uk</w:t>
            </w:r>
          </w:p>
          <w:p w:rsidR="004A4B29" w:rsidRDefault="004A4B29" w:rsidP="00BB6FF6">
            <w:pPr>
              <w:pStyle w:val="Affiliation"/>
            </w:pPr>
          </w:p>
        </w:tc>
      </w:tr>
    </w:tbl>
    <w:p w:rsidR="00336C6B" w:rsidRDefault="00336C6B" w:rsidP="00336C6B">
      <w:pPr>
        <w:rPr>
          <w:lang w:val="en-GB"/>
        </w:rPr>
      </w:pPr>
      <w:r w:rsidRPr="00336C6B">
        <w:rPr>
          <w:i/>
        </w:rPr>
        <w:t>Abstract:</w:t>
      </w:r>
      <w:r>
        <w:tab/>
        <w:t>We</w:t>
      </w:r>
      <w:r>
        <w:rPr>
          <w:lang w:val="en-GB"/>
        </w:rPr>
        <w:t xml:space="preserve"> illustrate our </w:t>
      </w:r>
      <w:r w:rsidRPr="00924223">
        <w:rPr>
          <w:lang w:val="en-GB"/>
        </w:rPr>
        <w:t xml:space="preserve">approach to using mathematical tasks </w:t>
      </w:r>
      <w:r>
        <w:rPr>
          <w:lang w:val="en-GB"/>
        </w:rPr>
        <w:t xml:space="preserve">with prospective teachers </w:t>
      </w:r>
      <w:r w:rsidRPr="00924223">
        <w:rPr>
          <w:lang w:val="en-GB"/>
        </w:rPr>
        <w:t>to promote complex thought about what it means to do and learn mathematics.</w:t>
      </w:r>
      <w:r w:rsidR="00FA73CE">
        <w:rPr>
          <w:lang w:val="en-GB"/>
        </w:rPr>
        <w:t xml:space="preserve"> P</w:t>
      </w:r>
      <w:r>
        <w:rPr>
          <w:lang w:val="en-GB"/>
        </w:rPr>
        <w:t>rospective teachers</w:t>
      </w:r>
      <w:r w:rsidR="00FA73CE">
        <w:rPr>
          <w:lang w:val="en-GB"/>
        </w:rPr>
        <w:t xml:space="preserve"> are </w:t>
      </w:r>
      <w:proofErr w:type="spellStart"/>
      <w:r>
        <w:rPr>
          <w:lang w:val="en-GB"/>
        </w:rPr>
        <w:t>enculturated</w:t>
      </w:r>
      <w:proofErr w:type="spellEnd"/>
      <w:r>
        <w:rPr>
          <w:lang w:val="en-GB"/>
        </w:rPr>
        <w:t xml:space="preserve"> into ways of thinking about teaching mathematics which persist, by and large, when they are in school. </w:t>
      </w:r>
      <w:r w:rsidR="00FA73CE">
        <w:rPr>
          <w:lang w:val="en-GB"/>
        </w:rPr>
        <w:t>We offer</w:t>
      </w:r>
      <w:r>
        <w:rPr>
          <w:lang w:val="en-GB"/>
        </w:rPr>
        <w:t xml:space="preserve"> tasks organised to challenge t</w:t>
      </w:r>
      <w:r w:rsidR="00FA73CE">
        <w:rPr>
          <w:lang w:val="en-GB"/>
        </w:rPr>
        <w:t>heir</w:t>
      </w:r>
      <w:r>
        <w:rPr>
          <w:lang w:val="en-GB"/>
        </w:rPr>
        <w:t xml:space="preserve"> instant responses</w:t>
      </w:r>
      <w:r w:rsidR="00FA73CE">
        <w:rPr>
          <w:lang w:val="en-GB"/>
        </w:rPr>
        <w:t>, and</w:t>
      </w:r>
      <w:r>
        <w:rPr>
          <w:lang w:val="en-GB"/>
        </w:rPr>
        <w:t xml:space="preserve"> support the development of habits of probing mathematical meaning as the starting point for thinking about teaching.</w:t>
      </w:r>
    </w:p>
    <w:p w:rsidR="004A4B29" w:rsidRDefault="004A4B29" w:rsidP="004A4B29">
      <w:pPr>
        <w:pStyle w:val="Abstract"/>
      </w:pPr>
    </w:p>
    <w:p w:rsidR="001E662A" w:rsidRDefault="004A4B29" w:rsidP="004A4B29">
      <w:pPr>
        <w:pStyle w:val="KeyWords"/>
      </w:pPr>
      <w:r>
        <w:t>Key words:</w:t>
      </w:r>
      <w:r>
        <w:tab/>
      </w:r>
      <w:r w:rsidR="00336C6B">
        <w:t>Teaching prospective teachers, preparing to mathematics, shifts of understanding, multiplicative relations, algebra</w:t>
      </w:r>
      <w:r>
        <w:t xml:space="preserve"> </w:t>
      </w:r>
    </w:p>
    <w:p w:rsidR="00784E64" w:rsidRDefault="00784E64" w:rsidP="00F23C07">
      <w:pPr>
        <w:pStyle w:val="Heading1"/>
        <w:numPr>
          <w:ilvl w:val="0"/>
          <w:numId w:val="0"/>
        </w:numPr>
        <w:ind w:left="900" w:hanging="900"/>
        <w:rPr>
          <w:lang w:val="en-GB"/>
        </w:rPr>
      </w:pPr>
      <w:r>
        <w:rPr>
          <w:lang w:val="en-GB"/>
        </w:rPr>
        <w:t>Introduction</w:t>
      </w:r>
    </w:p>
    <w:p w:rsidR="00675F27" w:rsidRDefault="00AB517D" w:rsidP="00726AED">
      <w:pPr>
        <w:rPr>
          <w:lang w:val="en-GB"/>
        </w:rPr>
      </w:pPr>
      <w:r>
        <w:rPr>
          <w:lang w:val="en-GB"/>
        </w:rPr>
        <w:t xml:space="preserve">In working with </w:t>
      </w:r>
      <w:r w:rsidR="00C71694">
        <w:rPr>
          <w:lang w:val="en-GB"/>
        </w:rPr>
        <w:t>prospective</w:t>
      </w:r>
      <w:r>
        <w:rPr>
          <w:lang w:val="en-GB"/>
        </w:rPr>
        <w:t xml:space="preserve"> teachers our practice is to start with mathematical tasks</w:t>
      </w:r>
      <w:r w:rsidR="004C7FC0">
        <w:rPr>
          <w:lang w:val="en-GB"/>
        </w:rPr>
        <w:t>, s</w:t>
      </w:r>
      <w:r>
        <w:rPr>
          <w:lang w:val="en-GB"/>
        </w:rPr>
        <w:t>o in this chapter we describe three tasks wh</w:t>
      </w:r>
      <w:r w:rsidR="00C71694">
        <w:rPr>
          <w:lang w:val="en-GB"/>
        </w:rPr>
        <w:t>ich we presented to them</w:t>
      </w:r>
      <w:r>
        <w:rPr>
          <w:lang w:val="en-GB"/>
        </w:rPr>
        <w:t>, the way in whic</w:t>
      </w:r>
      <w:r w:rsidR="00C71694">
        <w:rPr>
          <w:lang w:val="en-GB"/>
        </w:rPr>
        <w:t>h they responded to the tasks,</w:t>
      </w:r>
      <w:r>
        <w:rPr>
          <w:lang w:val="en-GB"/>
        </w:rPr>
        <w:t xml:space="preserve"> and our interpretation of their learning through these tasks.</w:t>
      </w:r>
    </w:p>
    <w:p w:rsidR="00675F27" w:rsidRDefault="00AB517D" w:rsidP="00726AED">
      <w:pPr>
        <w:rPr>
          <w:lang w:val="en-GB"/>
        </w:rPr>
      </w:pPr>
      <w:r>
        <w:rPr>
          <w:lang w:val="en-GB"/>
        </w:rPr>
        <w:lastRenderedPageBreak/>
        <w:t xml:space="preserve">We saw the chance to write this chapter together as an opportunity to examine </w:t>
      </w:r>
      <w:r w:rsidR="004C7FC0">
        <w:rPr>
          <w:lang w:val="en-GB"/>
        </w:rPr>
        <w:t xml:space="preserve">for the first time </w:t>
      </w:r>
      <w:r>
        <w:rPr>
          <w:lang w:val="en-GB"/>
        </w:rPr>
        <w:t>the way we are working together as teacher educators.</w:t>
      </w:r>
      <w:r w:rsidR="00B5651E">
        <w:rPr>
          <w:lang w:val="en-GB"/>
        </w:rPr>
        <w:t xml:space="preserve"> </w:t>
      </w:r>
      <w:r w:rsidR="004C7FC0">
        <w:rPr>
          <w:lang w:val="en-GB"/>
        </w:rPr>
        <w:t>We knew already that both of us had a strong commitment to the view that the shared experience of working on mathematical tasks is at the heart of learning mathematics, learning about mathematics, and learning about learning mathematics.</w:t>
      </w:r>
      <w:r w:rsidR="00B5651E">
        <w:rPr>
          <w:lang w:val="en-GB"/>
        </w:rPr>
        <w:t xml:space="preserve"> </w:t>
      </w:r>
      <w:r>
        <w:rPr>
          <w:lang w:val="en-GB"/>
        </w:rPr>
        <w:t xml:space="preserve">Although we have been colleagues in a number of different contexts for many years, this year is the first time that we have worked together with a group of </w:t>
      </w:r>
      <w:r w:rsidR="00C71694">
        <w:rPr>
          <w:lang w:val="en-GB"/>
        </w:rPr>
        <w:t>prospective teachers</w:t>
      </w:r>
      <w:r>
        <w:rPr>
          <w:lang w:val="en-GB"/>
        </w:rPr>
        <w:t xml:space="preserve"> over the period of a year.</w:t>
      </w:r>
      <w:r w:rsidR="00B5651E">
        <w:rPr>
          <w:lang w:val="en-GB"/>
        </w:rPr>
        <w:t xml:space="preserve"> </w:t>
      </w:r>
      <w:r>
        <w:rPr>
          <w:lang w:val="en-GB"/>
        </w:rPr>
        <w:t>Our common approach has developed over the period of this year through shared planning and teaching and through observation of each other’s teaching.</w:t>
      </w:r>
      <w:r w:rsidR="00B5651E">
        <w:rPr>
          <w:lang w:val="en-GB"/>
        </w:rPr>
        <w:t xml:space="preserve"> </w:t>
      </w:r>
      <w:r>
        <w:rPr>
          <w:lang w:val="en-GB"/>
        </w:rPr>
        <w:t>We have spent time disc</w:t>
      </w:r>
      <w:r w:rsidR="00C71694">
        <w:rPr>
          <w:lang w:val="en-GB"/>
        </w:rPr>
        <w:t>ussing the responses of our students</w:t>
      </w:r>
      <w:r>
        <w:rPr>
          <w:lang w:val="en-GB"/>
        </w:rPr>
        <w:t xml:space="preserve"> to our teaching, especially the way in which we see them working in schools, but ha</w:t>
      </w:r>
      <w:r w:rsidR="001A41F6">
        <w:rPr>
          <w:lang w:val="en-GB"/>
        </w:rPr>
        <w:t>d</w:t>
      </w:r>
      <w:r>
        <w:rPr>
          <w:lang w:val="en-GB"/>
        </w:rPr>
        <w:t xml:space="preserve"> not explicitly compared our teaching approaches.</w:t>
      </w:r>
      <w:r w:rsidR="004C7FC0">
        <w:rPr>
          <w:lang w:val="en-GB"/>
        </w:rPr>
        <w:t xml:space="preserve"> </w:t>
      </w:r>
    </w:p>
    <w:p w:rsidR="00675F27" w:rsidRDefault="004C7FC0" w:rsidP="00726AED">
      <w:pPr>
        <w:rPr>
          <w:lang w:val="en-GB"/>
        </w:rPr>
      </w:pPr>
      <w:r>
        <w:rPr>
          <w:lang w:val="en-GB"/>
        </w:rPr>
        <w:t>In this chapter w</w:t>
      </w:r>
      <w:r w:rsidR="00AB517D">
        <w:rPr>
          <w:lang w:val="en-GB"/>
        </w:rPr>
        <w:t xml:space="preserve">e have written about </w:t>
      </w:r>
      <w:r>
        <w:rPr>
          <w:lang w:val="en-GB"/>
        </w:rPr>
        <w:t xml:space="preserve">the </w:t>
      </w:r>
      <w:r w:rsidR="00AB517D">
        <w:rPr>
          <w:lang w:val="en-GB"/>
        </w:rPr>
        <w:t xml:space="preserve">mathematical tasks we present to </w:t>
      </w:r>
      <w:r w:rsidR="00C71694">
        <w:rPr>
          <w:lang w:val="en-GB"/>
        </w:rPr>
        <w:t>prospective teachers and the work which they have done with the tasks</w:t>
      </w:r>
      <w:r w:rsidR="00AB517D">
        <w:rPr>
          <w:lang w:val="en-GB"/>
        </w:rPr>
        <w:t>.</w:t>
      </w:r>
      <w:r w:rsidR="00B5651E">
        <w:rPr>
          <w:lang w:val="en-GB"/>
        </w:rPr>
        <w:t xml:space="preserve"> </w:t>
      </w:r>
      <w:r w:rsidR="00AB517D">
        <w:rPr>
          <w:lang w:val="en-GB"/>
        </w:rPr>
        <w:t>Most of our taught sessions with the group start from mathematical tasks and move on to pedagogical questi</w:t>
      </w:r>
      <w:r w:rsidR="00C71694">
        <w:rPr>
          <w:lang w:val="en-GB"/>
        </w:rPr>
        <w:t>ons.</w:t>
      </w:r>
      <w:r w:rsidR="00B5651E">
        <w:rPr>
          <w:lang w:val="en-GB"/>
        </w:rPr>
        <w:t xml:space="preserve"> </w:t>
      </w:r>
      <w:r w:rsidR="00C71694">
        <w:rPr>
          <w:lang w:val="en-GB"/>
        </w:rPr>
        <w:t>Occasionally their</w:t>
      </w:r>
      <w:r w:rsidR="00AB517D">
        <w:rPr>
          <w:lang w:val="en-GB"/>
        </w:rPr>
        <w:t xml:space="preserve"> experience as teachers is used as the starting point.</w:t>
      </w:r>
      <w:r w:rsidR="00B5651E">
        <w:rPr>
          <w:lang w:val="en-GB"/>
        </w:rPr>
        <w:t xml:space="preserve"> </w:t>
      </w:r>
      <w:r>
        <w:rPr>
          <w:lang w:val="en-GB"/>
        </w:rPr>
        <w:t>T</w:t>
      </w:r>
      <w:r w:rsidR="00AB517D">
        <w:rPr>
          <w:lang w:val="en-GB"/>
        </w:rPr>
        <w:t>he work we present here is typical of our teaching sessions rather than illustrative of an occasional approach.</w:t>
      </w:r>
    </w:p>
    <w:p w:rsidR="00675F27" w:rsidRDefault="00AB517D" w:rsidP="00726AED">
      <w:pPr>
        <w:rPr>
          <w:lang w:val="en-GB"/>
        </w:rPr>
      </w:pPr>
      <w:r>
        <w:rPr>
          <w:lang w:val="en-GB"/>
        </w:rPr>
        <w:t xml:space="preserve">The </w:t>
      </w:r>
      <w:r w:rsidR="00C71694">
        <w:rPr>
          <w:lang w:val="en-GB"/>
        </w:rPr>
        <w:t>prospective teachers</w:t>
      </w:r>
      <w:r>
        <w:rPr>
          <w:lang w:val="en-GB"/>
        </w:rPr>
        <w:t xml:space="preserve"> we teach are taking a one year post graduate course which will give them Qualified Teacher Status (necessary for teaching in state funded school</w:t>
      </w:r>
      <w:r w:rsidR="004C7FC0">
        <w:rPr>
          <w:lang w:val="en-GB"/>
        </w:rPr>
        <w:t>s</w:t>
      </w:r>
      <w:r>
        <w:rPr>
          <w:lang w:val="en-GB"/>
        </w:rPr>
        <w:t xml:space="preserve"> in the </w:t>
      </w:r>
      <w:smartTag w:uri="urn:schemas-microsoft-com:office:smarttags" w:element="place">
        <w:smartTag w:uri="urn:schemas-microsoft-com:office:smarttags" w:element="country-region">
          <w:r>
            <w:rPr>
              <w:lang w:val="en-GB"/>
            </w:rPr>
            <w:t>UK</w:t>
          </w:r>
        </w:smartTag>
      </w:smartTag>
      <w:r>
        <w:rPr>
          <w:lang w:val="en-GB"/>
        </w:rPr>
        <w:t>) as well as acad</w:t>
      </w:r>
      <w:r w:rsidR="002F1840">
        <w:rPr>
          <w:lang w:val="en-GB"/>
        </w:rPr>
        <w:t xml:space="preserve">emic credits at masters level. </w:t>
      </w:r>
      <w:r>
        <w:rPr>
          <w:lang w:val="en-GB"/>
        </w:rPr>
        <w:t xml:space="preserve">Teaching is still not a popular career choice for mathematics graduates in the </w:t>
      </w:r>
      <w:smartTag w:uri="urn:schemas-microsoft-com:office:smarttags" w:element="country-region">
        <w:smartTag w:uri="urn:schemas-microsoft-com:office:smarttags" w:element="place">
          <w:r>
            <w:rPr>
              <w:lang w:val="en-GB"/>
            </w:rPr>
            <w:t>UK</w:t>
          </w:r>
        </w:smartTag>
      </w:smartTag>
      <w:r>
        <w:rPr>
          <w:lang w:val="en-GB"/>
        </w:rPr>
        <w:t>, which means that admission to our course is</w:t>
      </w:r>
      <w:r w:rsidR="002F1840">
        <w:rPr>
          <w:lang w:val="en-GB"/>
        </w:rPr>
        <w:t xml:space="preserve"> competitive but not highly so. </w:t>
      </w:r>
      <w:r>
        <w:rPr>
          <w:lang w:val="en-GB"/>
        </w:rPr>
        <w:t>We usually attract around 60 applications for 30 places each year.</w:t>
      </w:r>
      <w:r w:rsidR="00B5651E">
        <w:rPr>
          <w:lang w:val="en-GB"/>
        </w:rPr>
        <w:t xml:space="preserve"> </w:t>
      </w:r>
      <w:r>
        <w:rPr>
          <w:lang w:val="en-GB"/>
        </w:rPr>
        <w:t xml:space="preserve">Nevertheless, </w:t>
      </w:r>
      <w:r w:rsidR="002F1840">
        <w:rPr>
          <w:lang w:val="en-GB"/>
        </w:rPr>
        <w:t>our students tend to be</w:t>
      </w:r>
      <w:r>
        <w:rPr>
          <w:lang w:val="en-GB"/>
        </w:rPr>
        <w:t xml:space="preserve"> well qualified mathematically.</w:t>
      </w:r>
      <w:r w:rsidR="00B5651E">
        <w:rPr>
          <w:lang w:val="en-GB"/>
        </w:rPr>
        <w:t xml:space="preserve"> </w:t>
      </w:r>
      <w:r>
        <w:rPr>
          <w:lang w:val="en-GB"/>
        </w:rPr>
        <w:t xml:space="preserve">They have a </w:t>
      </w:r>
      <w:r w:rsidR="004C7FC0">
        <w:rPr>
          <w:lang w:val="en-GB"/>
        </w:rPr>
        <w:t xml:space="preserve">good </w:t>
      </w:r>
      <w:r>
        <w:rPr>
          <w:lang w:val="en-GB"/>
        </w:rPr>
        <w:t>first degree which includes at least fifty percent mathematics (this might be an engineering degree, for example, where experience of rigorous pure mathematics is limited) and a significant number of them have higher degrees as well.</w:t>
      </w:r>
      <w:r w:rsidR="00B5651E">
        <w:rPr>
          <w:lang w:val="en-GB"/>
        </w:rPr>
        <w:t xml:space="preserve"> </w:t>
      </w:r>
      <w:r>
        <w:rPr>
          <w:lang w:val="en-GB"/>
        </w:rPr>
        <w:t>They have mostly been very successful in mathematics at school</w:t>
      </w:r>
      <w:r w:rsidR="004C7FC0">
        <w:rPr>
          <w:lang w:val="en-GB"/>
        </w:rPr>
        <w:t>, but may more recently have felt that they</w:t>
      </w:r>
      <w:r w:rsidR="00DF4EF7">
        <w:rPr>
          <w:lang w:val="en-GB"/>
        </w:rPr>
        <w:t xml:space="preserve"> reached some kind of wall in their own learning.</w:t>
      </w:r>
      <w:r w:rsidR="00784E64">
        <w:rPr>
          <w:lang w:val="en-GB"/>
        </w:rPr>
        <w:t xml:space="preserve"> </w:t>
      </w:r>
      <w:r>
        <w:rPr>
          <w:lang w:val="en-GB"/>
        </w:rPr>
        <w:t>Because most of our applicants are academically qualified for the course, we are able to select on the basis of other requirements, which include strong interest in mathematics and evidence of the ability to think critically about teaching and learning.</w:t>
      </w:r>
    </w:p>
    <w:p w:rsidR="00AB517D" w:rsidRDefault="00784E64" w:rsidP="00F23C07">
      <w:pPr>
        <w:pStyle w:val="Heading1"/>
        <w:numPr>
          <w:ilvl w:val="0"/>
          <w:numId w:val="0"/>
        </w:numPr>
        <w:rPr>
          <w:lang w:val="en-GB"/>
        </w:rPr>
      </w:pPr>
      <w:r>
        <w:rPr>
          <w:lang w:val="en-GB"/>
        </w:rPr>
        <w:t>some theoretical background</w:t>
      </w:r>
      <w:r w:rsidR="00DF4EF7">
        <w:rPr>
          <w:lang w:val="en-GB"/>
        </w:rPr>
        <w:t xml:space="preserve"> on </w:t>
      </w:r>
      <w:r w:rsidR="00F23C07">
        <w:rPr>
          <w:lang w:val="en-GB"/>
        </w:rPr>
        <w:t xml:space="preserve">using </w:t>
      </w:r>
      <w:r>
        <w:rPr>
          <w:lang w:val="en-GB"/>
        </w:rPr>
        <w:t>tasks to learn</w:t>
      </w:r>
      <w:r w:rsidR="00DF4EF7">
        <w:rPr>
          <w:lang w:val="en-GB"/>
        </w:rPr>
        <w:t xml:space="preserve"> to teach mathematics</w:t>
      </w:r>
    </w:p>
    <w:p w:rsidR="00675F27" w:rsidRDefault="00AB517D" w:rsidP="00726AED">
      <w:pPr>
        <w:rPr>
          <w:lang w:val="en-GB"/>
        </w:rPr>
      </w:pPr>
      <w:r>
        <w:rPr>
          <w:lang w:val="en-GB"/>
        </w:rPr>
        <w:t xml:space="preserve">The approach we take to mathematics teacher education is to offer a sequence of complex mathematical experiences which are designed to </w:t>
      </w:r>
      <w:r>
        <w:rPr>
          <w:lang w:val="en-GB"/>
        </w:rPr>
        <w:lastRenderedPageBreak/>
        <w:t>expose and bring to articulation ambiguities, distinctions, alternative conceptions, of teaching and of school mathematics. In each session we work on what Thompson and colleagues call ‘coherent mathematical meaning’ (</w:t>
      </w:r>
      <w:r w:rsidR="00BE7447">
        <w:rPr>
          <w:lang w:val="en-GB"/>
        </w:rPr>
        <w:t>Thompson, Carlson &amp; Silverman,</w:t>
      </w:r>
      <w:r w:rsidR="004F2717">
        <w:rPr>
          <w:lang w:val="en-GB"/>
        </w:rPr>
        <w:t xml:space="preserve"> </w:t>
      </w:r>
      <w:r>
        <w:rPr>
          <w:lang w:val="en-GB"/>
        </w:rPr>
        <w:t>2007) through bringing what is coherent for our students alongside what might be seen as coherent for their learners.</w:t>
      </w:r>
      <w:r w:rsidR="00B5651E">
        <w:rPr>
          <w:lang w:val="en-GB"/>
        </w:rPr>
        <w:t xml:space="preserve"> </w:t>
      </w:r>
      <w:r>
        <w:rPr>
          <w:lang w:val="en-GB"/>
        </w:rPr>
        <w:t>In this way, we ask them to appreciate learners’ experiences,</w:t>
      </w:r>
      <w:r w:rsidR="00DF4EF7">
        <w:rPr>
          <w:lang w:val="en-GB"/>
        </w:rPr>
        <w:t xml:space="preserve"> and</w:t>
      </w:r>
      <w:r>
        <w:rPr>
          <w:lang w:val="en-GB"/>
        </w:rPr>
        <w:t xml:space="preserve"> to see ‘coherence’ from the learners’ perspective.</w:t>
      </w:r>
    </w:p>
    <w:p w:rsidR="00675F27" w:rsidRDefault="00AB517D" w:rsidP="00726AED">
      <w:pPr>
        <w:rPr>
          <w:lang w:val="en-GB"/>
        </w:rPr>
      </w:pPr>
      <w:r>
        <w:rPr>
          <w:lang w:val="en-GB"/>
        </w:rPr>
        <w:t xml:space="preserve">This is a delicate task, because </w:t>
      </w:r>
      <w:r w:rsidR="005306D7">
        <w:rPr>
          <w:lang w:val="en-GB"/>
        </w:rPr>
        <w:t xml:space="preserve">as we have </w:t>
      </w:r>
      <w:r>
        <w:rPr>
          <w:lang w:val="en-GB"/>
        </w:rPr>
        <w:t>worked for many years as teacher educators, some distinctions and constructions are very obvious to us – but this does not mean that they will be helpful for our students.</w:t>
      </w:r>
      <w:r w:rsidR="00B5651E">
        <w:rPr>
          <w:lang w:val="en-GB"/>
        </w:rPr>
        <w:t xml:space="preserve"> </w:t>
      </w:r>
      <w:r>
        <w:rPr>
          <w:lang w:val="en-GB"/>
        </w:rPr>
        <w:t xml:space="preserve">It is a classic temptation in education to teach unifying theories, which make sense to those who already </w:t>
      </w:r>
      <w:r w:rsidR="005306D7">
        <w:rPr>
          <w:lang w:val="en-GB"/>
        </w:rPr>
        <w:t>have a lot of relevant knowledge</w:t>
      </w:r>
      <w:r>
        <w:rPr>
          <w:lang w:val="en-GB"/>
        </w:rPr>
        <w:t>, to novices who do not know what is being unified. Instead, we use their existing mathematical knowledge and experience as learners as a starting point for developing language and realisations about their experience, and then applying those realisations in their teaching. Even with high level qualifications, there is always enough variety in ways of understanding the tasks we give to use</w:t>
      </w:r>
      <w:r w:rsidR="00DF4EF7">
        <w:rPr>
          <w:lang w:val="en-GB"/>
        </w:rPr>
        <w:t xml:space="preserve"> </w:t>
      </w:r>
      <w:r>
        <w:rPr>
          <w:lang w:val="en-GB"/>
        </w:rPr>
        <w:t>diversity</w:t>
      </w:r>
      <w:r w:rsidR="00DF4EF7">
        <w:rPr>
          <w:lang w:val="en-GB"/>
        </w:rPr>
        <w:t xml:space="preserve">, </w:t>
      </w:r>
      <w:r>
        <w:rPr>
          <w:lang w:val="en-GB"/>
        </w:rPr>
        <w:t>comparison, analysis of implications, and relationships to school mathematics as structuring devices for interactive sessions.</w:t>
      </w:r>
    </w:p>
    <w:p w:rsidR="00675F27" w:rsidRDefault="00AB517D" w:rsidP="00726AED">
      <w:pPr>
        <w:rPr>
          <w:lang w:val="en-GB"/>
        </w:rPr>
      </w:pPr>
      <w:r>
        <w:rPr>
          <w:lang w:val="en-GB"/>
        </w:rPr>
        <w:t>We rarely offer easy closure by giving ways to teach topics, or ways to use ideas. We do not give generalisations about teaching and learning.</w:t>
      </w:r>
      <w:r w:rsidR="00B5651E">
        <w:rPr>
          <w:lang w:val="en-GB"/>
        </w:rPr>
        <w:t xml:space="preserve"> </w:t>
      </w:r>
      <w:r>
        <w:rPr>
          <w:lang w:val="en-GB"/>
        </w:rPr>
        <w:t>Instead we work together on tasks, we use their responses to expose pedagogic and didactic details and choices, and we reflect on what is afforded for learners in imagined situations.</w:t>
      </w:r>
      <w:r w:rsidR="00B5651E">
        <w:rPr>
          <w:lang w:val="en-GB"/>
        </w:rPr>
        <w:t xml:space="preserve"> </w:t>
      </w:r>
      <w:r>
        <w:rPr>
          <w:lang w:val="en-GB"/>
        </w:rPr>
        <w:t>It is a characteristic of our work that we do this through mathematics, so that the thinking required at every stage is mathematical</w:t>
      </w:r>
      <w:r w:rsidR="00DF4EF7">
        <w:rPr>
          <w:lang w:val="en-GB"/>
        </w:rPr>
        <w:t>, that is,</w:t>
      </w:r>
      <w:r>
        <w:rPr>
          <w:lang w:val="en-GB"/>
        </w:rPr>
        <w:t xml:space="preserve"> concerned with presentation, exploration and perception of variation in questions, examples, diagrams, and other mathematical artefacts. Yet the atmosphere is about pedagogy.</w:t>
      </w:r>
      <w:r w:rsidR="00B5651E">
        <w:rPr>
          <w:lang w:val="en-GB"/>
        </w:rPr>
        <w:t xml:space="preserve"> </w:t>
      </w:r>
      <w:r>
        <w:rPr>
          <w:lang w:val="en-GB"/>
        </w:rPr>
        <w:t>For example, in an early session on fractions, several different representations were used, each for a different task for which t</w:t>
      </w:r>
      <w:r w:rsidR="00E96520">
        <w:rPr>
          <w:lang w:val="en-GB"/>
        </w:rPr>
        <w:t xml:space="preserve">hey were well-suited. The final task was </w:t>
      </w:r>
      <w:r>
        <w:rPr>
          <w:lang w:val="en-GB"/>
        </w:rPr>
        <w:t>intended to evoke criticism of reliance on limited image</w:t>
      </w:r>
      <w:r w:rsidR="00DF4EF7">
        <w:rPr>
          <w:lang w:val="en-GB"/>
        </w:rPr>
        <w:t>s. A</w:t>
      </w:r>
      <w:r>
        <w:rPr>
          <w:lang w:val="en-GB"/>
        </w:rPr>
        <w:t>ll the representations</w:t>
      </w:r>
      <w:r w:rsidR="00DF4EF7">
        <w:rPr>
          <w:lang w:val="en-GB"/>
        </w:rPr>
        <w:t xml:space="preserve"> which had been</w:t>
      </w:r>
      <w:r w:rsidR="00E96520">
        <w:rPr>
          <w:lang w:val="en-GB"/>
        </w:rPr>
        <w:t xml:space="preserve"> used </w:t>
      </w:r>
      <w:r w:rsidR="001A41F6">
        <w:rPr>
          <w:lang w:val="en-GB"/>
        </w:rPr>
        <w:t>so far</w:t>
      </w:r>
      <w:r>
        <w:rPr>
          <w:lang w:val="en-GB"/>
        </w:rPr>
        <w:t xml:space="preserve"> were offered as a list:</w:t>
      </w:r>
    </w:p>
    <w:p w:rsidR="00784E64" w:rsidRDefault="00784E64" w:rsidP="00726AED">
      <w:pPr>
        <w:rPr>
          <w:lang w:val="en-GB"/>
        </w:rPr>
      </w:pPr>
    </w:p>
    <w:tbl>
      <w:tblPr>
        <w:tblW w:w="0" w:type="auto"/>
        <w:tblLook w:val="01E0"/>
      </w:tblPr>
      <w:tblGrid>
        <w:gridCol w:w="3484"/>
        <w:gridCol w:w="2861"/>
      </w:tblGrid>
      <w:tr w:rsidR="00E96520" w:rsidRPr="007E464A" w:rsidTr="00FA73CE">
        <w:tc>
          <w:tcPr>
            <w:tcW w:w="3484" w:type="dxa"/>
          </w:tcPr>
          <w:p w:rsidR="00E96520" w:rsidRPr="007E464A" w:rsidRDefault="00E96520" w:rsidP="00FA73CE">
            <w:pPr>
              <w:ind w:left="567" w:firstLine="0"/>
              <w:rPr>
                <w:lang w:val="en-GB"/>
              </w:rPr>
            </w:pPr>
            <w:r w:rsidRPr="007E464A">
              <w:rPr>
                <w:lang w:val="en-GB"/>
              </w:rPr>
              <w:t>Fraction walls</w:t>
            </w:r>
          </w:p>
        </w:tc>
        <w:tc>
          <w:tcPr>
            <w:tcW w:w="2861" w:type="dxa"/>
          </w:tcPr>
          <w:p w:rsidR="00E96520" w:rsidRPr="007E464A" w:rsidRDefault="00E96520" w:rsidP="00FA73CE">
            <w:pPr>
              <w:ind w:left="567" w:firstLine="0"/>
              <w:rPr>
                <w:lang w:val="en-GB"/>
              </w:rPr>
            </w:pPr>
            <w:r w:rsidRPr="007E464A">
              <w:rPr>
                <w:lang w:val="en-GB"/>
              </w:rPr>
              <w:t>Folded rectangles</w:t>
            </w:r>
          </w:p>
        </w:tc>
      </w:tr>
      <w:tr w:rsidR="00E96520" w:rsidRPr="007E464A" w:rsidTr="00FA73CE">
        <w:tc>
          <w:tcPr>
            <w:tcW w:w="3484" w:type="dxa"/>
          </w:tcPr>
          <w:p w:rsidR="00E96520" w:rsidRPr="007E464A" w:rsidRDefault="00E96520" w:rsidP="00FA73CE">
            <w:pPr>
              <w:ind w:left="567" w:firstLine="0"/>
              <w:rPr>
                <w:lang w:val="en-GB"/>
              </w:rPr>
            </w:pPr>
            <w:r w:rsidRPr="007E464A">
              <w:rPr>
                <w:lang w:val="en-GB"/>
              </w:rPr>
              <w:t>Squares in rectangular arrays</w:t>
            </w:r>
          </w:p>
        </w:tc>
        <w:tc>
          <w:tcPr>
            <w:tcW w:w="2861" w:type="dxa"/>
          </w:tcPr>
          <w:p w:rsidR="00E96520" w:rsidRPr="007E464A" w:rsidRDefault="00E96520" w:rsidP="00FA73CE">
            <w:pPr>
              <w:ind w:left="567" w:firstLine="0"/>
              <w:rPr>
                <w:lang w:val="en-GB"/>
              </w:rPr>
            </w:pPr>
            <w:r w:rsidRPr="007E464A">
              <w:rPr>
                <w:lang w:val="en-GB"/>
              </w:rPr>
              <w:t>Folded strips</w:t>
            </w:r>
          </w:p>
        </w:tc>
      </w:tr>
      <w:tr w:rsidR="00E96520" w:rsidRPr="007E464A" w:rsidTr="00FA73CE">
        <w:tc>
          <w:tcPr>
            <w:tcW w:w="3484" w:type="dxa"/>
          </w:tcPr>
          <w:p w:rsidR="00E96520" w:rsidRPr="007E464A" w:rsidRDefault="00FA73CE" w:rsidP="00FA73CE">
            <w:pPr>
              <w:ind w:left="567" w:firstLine="0"/>
              <w:rPr>
                <w:lang w:val="en-GB"/>
              </w:rPr>
            </w:pPr>
            <w:r>
              <w:rPr>
                <w:lang w:val="en-GB"/>
              </w:rPr>
              <w:t>Congruent parts of</w:t>
            </w:r>
            <w:r w:rsidR="00E96520" w:rsidRPr="007E464A">
              <w:rPr>
                <w:lang w:val="en-GB"/>
              </w:rPr>
              <w:t xml:space="preserve"> shapes</w:t>
            </w:r>
          </w:p>
        </w:tc>
        <w:tc>
          <w:tcPr>
            <w:tcW w:w="2861" w:type="dxa"/>
          </w:tcPr>
          <w:p w:rsidR="00E96520" w:rsidRPr="007E464A" w:rsidRDefault="00E96520" w:rsidP="00FA73CE">
            <w:pPr>
              <w:ind w:left="567" w:firstLine="0"/>
              <w:rPr>
                <w:lang w:val="en-GB"/>
              </w:rPr>
            </w:pPr>
            <w:r w:rsidRPr="007E464A">
              <w:rPr>
                <w:lang w:val="en-GB"/>
              </w:rPr>
              <w:t>Area representations</w:t>
            </w:r>
          </w:p>
        </w:tc>
      </w:tr>
      <w:tr w:rsidR="00E96520" w:rsidRPr="007E464A" w:rsidTr="00FA73CE">
        <w:tc>
          <w:tcPr>
            <w:tcW w:w="3484" w:type="dxa"/>
          </w:tcPr>
          <w:p w:rsidR="00E96520" w:rsidRPr="007E464A" w:rsidRDefault="00FA73CE" w:rsidP="00FA73CE">
            <w:pPr>
              <w:ind w:left="567" w:firstLine="0"/>
              <w:jc w:val="left"/>
              <w:rPr>
                <w:lang w:val="en-GB"/>
              </w:rPr>
            </w:pPr>
            <w:r>
              <w:rPr>
                <w:lang w:val="en-GB"/>
              </w:rPr>
              <w:t>Shaded parts, not</w:t>
            </w:r>
            <w:r w:rsidR="00B5651E">
              <w:rPr>
                <w:lang w:val="en-GB"/>
              </w:rPr>
              <w:t xml:space="preserve"> </w:t>
            </w:r>
            <w:r w:rsidR="00E96520" w:rsidRPr="007E464A">
              <w:rPr>
                <w:lang w:val="en-GB"/>
              </w:rPr>
              <w:t>congruent</w:t>
            </w:r>
          </w:p>
        </w:tc>
        <w:tc>
          <w:tcPr>
            <w:tcW w:w="2861" w:type="dxa"/>
          </w:tcPr>
          <w:p w:rsidR="00E96520" w:rsidRPr="007E464A" w:rsidRDefault="00E96520" w:rsidP="00FA73CE">
            <w:pPr>
              <w:ind w:left="567" w:firstLine="0"/>
              <w:rPr>
                <w:lang w:val="en-GB"/>
              </w:rPr>
            </w:pPr>
            <w:r w:rsidRPr="007E464A">
              <w:rPr>
                <w:lang w:val="en-GB"/>
              </w:rPr>
              <w:t>Shaded elements of set</w:t>
            </w:r>
          </w:p>
        </w:tc>
      </w:tr>
      <w:tr w:rsidR="00E96520" w:rsidRPr="007E464A" w:rsidTr="00FA73CE">
        <w:tc>
          <w:tcPr>
            <w:tcW w:w="3484" w:type="dxa"/>
          </w:tcPr>
          <w:p w:rsidR="00E96520" w:rsidRPr="007E464A" w:rsidRDefault="00E96520" w:rsidP="00FA73CE">
            <w:pPr>
              <w:ind w:left="567" w:firstLine="0"/>
              <w:rPr>
                <w:lang w:val="en-GB"/>
              </w:rPr>
            </w:pPr>
            <w:r w:rsidRPr="007E464A">
              <w:rPr>
                <w:lang w:val="en-GB"/>
              </w:rPr>
              <w:t>Slices of pizza</w:t>
            </w:r>
          </w:p>
        </w:tc>
        <w:tc>
          <w:tcPr>
            <w:tcW w:w="2861" w:type="dxa"/>
          </w:tcPr>
          <w:p w:rsidR="00E96520" w:rsidRPr="007E464A" w:rsidRDefault="00E96520" w:rsidP="00FA73CE">
            <w:pPr>
              <w:ind w:left="567" w:firstLine="0"/>
              <w:rPr>
                <w:lang w:val="en-GB"/>
              </w:rPr>
            </w:pPr>
            <w:r w:rsidRPr="007E464A">
              <w:rPr>
                <w:lang w:val="en-GB"/>
              </w:rPr>
              <w:t>Division sums</w:t>
            </w:r>
          </w:p>
        </w:tc>
      </w:tr>
      <w:tr w:rsidR="00E96520" w:rsidRPr="007E464A" w:rsidTr="00FA73CE">
        <w:tc>
          <w:tcPr>
            <w:tcW w:w="3484" w:type="dxa"/>
          </w:tcPr>
          <w:p w:rsidR="00E96520" w:rsidRPr="007E464A" w:rsidRDefault="00E96520" w:rsidP="00FA73CE">
            <w:pPr>
              <w:ind w:left="567" w:firstLine="0"/>
              <w:rPr>
                <w:lang w:val="en-GB"/>
              </w:rPr>
            </w:pPr>
            <w:r w:rsidRPr="007E464A">
              <w:rPr>
                <w:lang w:val="en-GB"/>
              </w:rPr>
              <w:t>Points on a number line</w:t>
            </w:r>
          </w:p>
        </w:tc>
        <w:tc>
          <w:tcPr>
            <w:tcW w:w="2861" w:type="dxa"/>
          </w:tcPr>
          <w:p w:rsidR="00E96520" w:rsidRPr="007E464A" w:rsidRDefault="00E96520" w:rsidP="00FA73CE">
            <w:pPr>
              <w:ind w:left="567" w:firstLine="0"/>
              <w:rPr>
                <w:lang w:val="en-GB"/>
              </w:rPr>
            </w:pPr>
            <w:r w:rsidRPr="007E464A">
              <w:rPr>
                <w:lang w:val="en-GB"/>
              </w:rPr>
              <w:t xml:space="preserve">Decimal </w:t>
            </w:r>
            <w:r w:rsidR="00FA73CE">
              <w:rPr>
                <w:lang w:val="en-GB"/>
              </w:rPr>
              <w:t xml:space="preserve">number </w:t>
            </w:r>
          </w:p>
        </w:tc>
      </w:tr>
      <w:tr w:rsidR="00E96520" w:rsidRPr="007E464A" w:rsidTr="00FA73CE">
        <w:tc>
          <w:tcPr>
            <w:tcW w:w="3484" w:type="dxa"/>
          </w:tcPr>
          <w:p w:rsidR="00E96520" w:rsidRPr="007E464A" w:rsidRDefault="00E96520" w:rsidP="00FA73CE">
            <w:pPr>
              <w:ind w:left="567" w:firstLine="0"/>
              <w:rPr>
                <w:lang w:val="en-GB"/>
              </w:rPr>
            </w:pPr>
            <w:r w:rsidRPr="007E464A">
              <w:rPr>
                <w:lang w:val="en-GB"/>
              </w:rPr>
              <w:t>Conventional symbolic form</w:t>
            </w:r>
          </w:p>
        </w:tc>
        <w:tc>
          <w:tcPr>
            <w:tcW w:w="2861" w:type="dxa"/>
          </w:tcPr>
          <w:p w:rsidR="00E96520" w:rsidRPr="007E464A" w:rsidRDefault="00E96520" w:rsidP="00FA73CE">
            <w:pPr>
              <w:ind w:left="567" w:firstLine="0"/>
              <w:rPr>
                <w:lang w:val="en-GB"/>
              </w:rPr>
            </w:pPr>
          </w:p>
        </w:tc>
      </w:tr>
    </w:tbl>
    <w:p w:rsidR="00784E64" w:rsidRDefault="00784E64" w:rsidP="00726AED">
      <w:pPr>
        <w:rPr>
          <w:lang w:val="en-GB"/>
        </w:rPr>
      </w:pPr>
    </w:p>
    <w:p w:rsidR="00FA73CE" w:rsidRDefault="00FA73CE" w:rsidP="00726AED">
      <w:pPr>
        <w:rPr>
          <w:lang w:val="en-GB"/>
        </w:rPr>
      </w:pPr>
      <w:r>
        <w:rPr>
          <w:lang w:val="en-GB"/>
        </w:rPr>
        <w:t>The task was:</w:t>
      </w:r>
    </w:p>
    <w:p w:rsidR="00FA73CE" w:rsidRDefault="00FA73CE" w:rsidP="00726AED">
      <w:pPr>
        <w:rPr>
          <w:lang w:val="en-GB"/>
        </w:rPr>
      </w:pPr>
      <w:r w:rsidRPr="00FA73CE">
        <w:rPr>
          <w:noProof/>
          <w:lang w:val="en-GB" w:eastAsia="zh-TW"/>
        </w:rPr>
        <w:lastRenderedPageBreak/>
        <w:pict>
          <v:shapetype id="_x0000_t202" coordsize="21600,21600" o:spt="202" path="m,l,21600r21600,l21600,xe">
            <v:stroke joinstyle="miter"/>
            <v:path gradientshapeok="t" o:connecttype="rect"/>
          </v:shapetype>
          <v:shape id="_x0000_s1112" type="#_x0000_t202" style="position:absolute;left:0;text-align:left;margin-left:6.3pt;margin-top:2.3pt;width:341.25pt;height:51.75pt;z-index:251656704;mso-width-relative:margin;mso-height-relative:margin">
            <v:textbox>
              <w:txbxContent>
                <w:p w:rsidR="00FA73CE" w:rsidRDefault="00FA73CE" w:rsidP="00FA73CE">
                  <w:pPr>
                    <w:ind w:firstLine="0"/>
                    <w:rPr>
                      <w:lang w:val="en-GB"/>
                    </w:rPr>
                  </w:pPr>
                  <w:r>
                    <w:rPr>
                      <w:lang w:val="en-GB"/>
                    </w:rPr>
                    <w:t xml:space="preserve">Decide the uses and limitations of each representation, bearing in mind that secondary school students have to work with objects which have a ‘fraction’ structure such as “sine = opposite/hypotenuse”. </w:t>
                  </w:r>
                </w:p>
                <w:p w:rsidR="00FA73CE" w:rsidRDefault="00FA73CE"/>
              </w:txbxContent>
            </v:textbox>
          </v:shape>
        </w:pict>
      </w:r>
    </w:p>
    <w:p w:rsidR="00FA73CE" w:rsidRDefault="00FA73CE" w:rsidP="00726AED">
      <w:pPr>
        <w:rPr>
          <w:lang w:val="en-GB"/>
        </w:rPr>
      </w:pPr>
    </w:p>
    <w:p w:rsidR="00FA73CE" w:rsidRDefault="00FA73CE" w:rsidP="00726AED">
      <w:pPr>
        <w:rPr>
          <w:lang w:val="en-GB"/>
        </w:rPr>
      </w:pPr>
    </w:p>
    <w:p w:rsidR="00FA73CE" w:rsidRDefault="00FA73CE" w:rsidP="00FA73CE">
      <w:pPr>
        <w:ind w:firstLine="0"/>
        <w:rPr>
          <w:lang w:val="en-GB"/>
        </w:rPr>
      </w:pPr>
    </w:p>
    <w:p w:rsidR="00784E64" w:rsidRDefault="00AB517D" w:rsidP="00FA73CE">
      <w:pPr>
        <w:rPr>
          <w:lang w:val="en-GB"/>
        </w:rPr>
      </w:pPr>
      <w:r>
        <w:rPr>
          <w:lang w:val="en-GB"/>
        </w:rPr>
        <w:t xml:space="preserve">This end-of-session task provided more complexity than closure, prompting one </w:t>
      </w:r>
      <w:r w:rsidR="00C71694">
        <w:rPr>
          <w:lang w:val="en-GB"/>
        </w:rPr>
        <w:t>prospective teacher</w:t>
      </w:r>
      <w:r>
        <w:rPr>
          <w:lang w:val="en-GB"/>
        </w:rPr>
        <w:t xml:space="preserve"> to say that he thought this was why some teachers only taught procedures – working with images and understanding took a lot longer.</w:t>
      </w:r>
      <w:r w:rsidR="00B5651E">
        <w:rPr>
          <w:lang w:val="en-GB"/>
        </w:rPr>
        <w:t xml:space="preserve"> </w:t>
      </w:r>
      <w:r>
        <w:rPr>
          <w:lang w:val="en-GB"/>
        </w:rPr>
        <w:t xml:space="preserve">Another announced that he was confused, but this is not a problem for us – </w:t>
      </w:r>
      <w:r w:rsidR="00DF4EF7">
        <w:rPr>
          <w:lang w:val="en-GB"/>
        </w:rPr>
        <w:t xml:space="preserve">a sense of </w:t>
      </w:r>
      <w:r w:rsidR="00C71694">
        <w:rPr>
          <w:lang w:val="en-GB"/>
        </w:rPr>
        <w:t>confusion reduces as they</w:t>
      </w:r>
      <w:r>
        <w:rPr>
          <w:lang w:val="en-GB"/>
        </w:rPr>
        <w:t xml:space="preserve"> realise there are no ‘right’ answers.</w:t>
      </w:r>
      <w:r w:rsidR="00DF4EF7">
        <w:rPr>
          <w:lang w:val="en-GB"/>
        </w:rPr>
        <w:t xml:space="preserve"> What we aim to achieve is a shift from an approach characterised by the question ‘how shall I teach so-and-so?’ to</w:t>
      </w:r>
      <w:r w:rsidR="00E512EC">
        <w:rPr>
          <w:lang w:val="en-GB"/>
        </w:rPr>
        <w:t xml:space="preserve"> one of</w:t>
      </w:r>
      <w:r w:rsidR="00DF4EF7">
        <w:rPr>
          <w:lang w:val="en-GB"/>
        </w:rPr>
        <w:t xml:space="preserve"> ‘what does it take to learn so-and-so?’</w:t>
      </w:r>
    </w:p>
    <w:p w:rsidR="004B5A65" w:rsidRDefault="001A41F6" w:rsidP="004B5A65">
      <w:pPr>
        <w:rPr>
          <w:lang w:val="en-GB"/>
        </w:rPr>
      </w:pPr>
      <w:r>
        <w:rPr>
          <w:lang w:val="en-GB"/>
        </w:rPr>
        <w:t>W</w:t>
      </w:r>
      <w:r w:rsidR="00AB517D">
        <w:rPr>
          <w:lang w:val="en-GB"/>
        </w:rPr>
        <w:t>e report</w:t>
      </w:r>
      <w:r>
        <w:rPr>
          <w:lang w:val="en-GB"/>
        </w:rPr>
        <w:t xml:space="preserve"> on</w:t>
      </w:r>
      <w:r w:rsidR="004B5A65">
        <w:rPr>
          <w:lang w:val="en-GB"/>
        </w:rPr>
        <w:t xml:space="preserve"> some </w:t>
      </w:r>
      <w:r w:rsidR="00AB517D">
        <w:rPr>
          <w:lang w:val="en-GB"/>
        </w:rPr>
        <w:t>tasks we have used, and how we</w:t>
      </w:r>
      <w:r w:rsidR="004B5A65">
        <w:rPr>
          <w:lang w:val="en-GB"/>
        </w:rPr>
        <w:t xml:space="preserve"> use them, </w:t>
      </w:r>
      <w:r w:rsidR="00AB517D">
        <w:rPr>
          <w:lang w:val="en-GB"/>
        </w:rPr>
        <w:t>seen within the holistic nature of our course. School-based experience, mentoring, and university-based teaching are integrated to support the development of complex understa</w:t>
      </w:r>
      <w:r w:rsidR="004B5A65">
        <w:rPr>
          <w:lang w:val="en-GB"/>
        </w:rPr>
        <w:t xml:space="preserve">nding of teaching mathematics. </w:t>
      </w:r>
      <w:r w:rsidR="00AB517D">
        <w:rPr>
          <w:lang w:val="en-GB"/>
        </w:rPr>
        <w:t>Key ideas about mathemat</w:t>
      </w:r>
      <w:r w:rsidR="004B5A65">
        <w:rPr>
          <w:lang w:val="en-GB"/>
        </w:rPr>
        <w:t>ical pedagogy are raised in practice, in formal</w:t>
      </w:r>
      <w:r w:rsidR="00AB517D">
        <w:rPr>
          <w:lang w:val="en-GB"/>
        </w:rPr>
        <w:t xml:space="preserve"> sessions, or in small-group tasks or assignments. Within a student’s individual trajectory there are opportunities to recognise structures and distinctions, through talking about experiences, which will inform future thinking about teaching.</w:t>
      </w:r>
      <w:r w:rsidR="00B5651E">
        <w:rPr>
          <w:lang w:val="en-GB"/>
        </w:rPr>
        <w:t xml:space="preserve"> </w:t>
      </w:r>
      <w:r w:rsidR="00AB517D">
        <w:rPr>
          <w:lang w:val="en-GB"/>
        </w:rPr>
        <w:t>In the task sequences described below, some of these themes can be seen as threads that</w:t>
      </w:r>
      <w:r w:rsidR="004B5A65">
        <w:rPr>
          <w:lang w:val="en-GB"/>
        </w:rPr>
        <w:t xml:space="preserve"> run through several sessions. </w:t>
      </w:r>
      <w:proofErr w:type="spellStart"/>
      <w:r w:rsidR="00AB517D">
        <w:rPr>
          <w:lang w:val="en-GB"/>
        </w:rPr>
        <w:t>Distributivity</w:t>
      </w:r>
      <w:proofErr w:type="spellEnd"/>
      <w:r w:rsidR="00AB517D">
        <w:rPr>
          <w:lang w:val="en-GB"/>
        </w:rPr>
        <w:t xml:space="preserve"> emerges in work on mental arithmetic and in algebra</w:t>
      </w:r>
      <w:r w:rsidR="00E512EC">
        <w:rPr>
          <w:lang w:val="en-GB"/>
        </w:rPr>
        <w:t>.</w:t>
      </w:r>
      <w:r w:rsidR="00AB517D">
        <w:rPr>
          <w:lang w:val="en-GB"/>
        </w:rPr>
        <w:t xml:space="preserve"> </w:t>
      </w:r>
      <w:r w:rsidR="00E512EC">
        <w:rPr>
          <w:lang w:val="en-GB"/>
        </w:rPr>
        <w:t>R</w:t>
      </w:r>
      <w:r w:rsidR="00AB517D">
        <w:rPr>
          <w:lang w:val="en-GB"/>
        </w:rPr>
        <w:t>epresentation is explicit in the session using a line segment, explicit in a session on fractions, and implicit in other sessions</w:t>
      </w:r>
      <w:r w:rsidR="00E512EC">
        <w:rPr>
          <w:lang w:val="en-GB"/>
        </w:rPr>
        <w:t>.</w:t>
      </w:r>
      <w:r w:rsidR="00AB517D">
        <w:rPr>
          <w:lang w:val="en-GB"/>
        </w:rPr>
        <w:t xml:space="preserve"> </w:t>
      </w:r>
      <w:r w:rsidR="00E512EC">
        <w:rPr>
          <w:lang w:val="en-GB"/>
        </w:rPr>
        <w:t>R</w:t>
      </w:r>
      <w:r w:rsidR="00AB517D">
        <w:rPr>
          <w:lang w:val="en-GB"/>
        </w:rPr>
        <w:t>atio arises as an example of a shift to be made from additive to multiplicative thinking, but is given a full session of its own late</w:t>
      </w:r>
      <w:r w:rsidR="00E512EC">
        <w:rPr>
          <w:lang w:val="en-GB"/>
        </w:rPr>
        <w:t>r. I</w:t>
      </w:r>
      <w:r w:rsidR="00AB517D">
        <w:rPr>
          <w:lang w:val="en-GB"/>
        </w:rPr>
        <w:t xml:space="preserve">n a session on ‘student errors seen in school’ our students find that they learn even more about arithmetic, and we find that they apply a view based on alternative conceptions rather than ‘mistakes’. All of this is enacted in schools </w:t>
      </w:r>
      <w:r w:rsidR="00E512EC">
        <w:rPr>
          <w:lang w:val="en-GB"/>
        </w:rPr>
        <w:t>through observing</w:t>
      </w:r>
      <w:r w:rsidR="00AB517D">
        <w:rPr>
          <w:lang w:val="en-GB"/>
        </w:rPr>
        <w:t xml:space="preserve"> experienced teachers</w:t>
      </w:r>
      <w:r w:rsidR="00E512EC">
        <w:rPr>
          <w:lang w:val="en-GB"/>
        </w:rPr>
        <w:t xml:space="preserve"> and</w:t>
      </w:r>
      <w:r w:rsidR="00AB517D">
        <w:rPr>
          <w:lang w:val="en-GB"/>
        </w:rPr>
        <w:t xml:space="preserve"> by </w:t>
      </w:r>
      <w:r w:rsidR="00C71694">
        <w:rPr>
          <w:lang w:val="en-GB"/>
        </w:rPr>
        <w:t>prospective teachers</w:t>
      </w:r>
      <w:r w:rsidR="00AB517D">
        <w:rPr>
          <w:lang w:val="en-GB"/>
        </w:rPr>
        <w:t xml:space="preserve"> </w:t>
      </w:r>
      <w:r w:rsidR="00E512EC">
        <w:rPr>
          <w:lang w:val="en-GB"/>
        </w:rPr>
        <w:t xml:space="preserve">being </w:t>
      </w:r>
      <w:r w:rsidR="00AB517D">
        <w:rPr>
          <w:lang w:val="en-GB"/>
        </w:rPr>
        <w:t>supported through mentoring.</w:t>
      </w:r>
      <w:r w:rsidR="00B5651E">
        <w:rPr>
          <w:lang w:val="en-GB"/>
        </w:rPr>
        <w:t xml:space="preserve"> </w:t>
      </w:r>
      <w:r w:rsidR="00AB517D">
        <w:rPr>
          <w:lang w:val="en-GB"/>
        </w:rPr>
        <w:t>In this way, we manifest many of the practices which are taken-as-sh</w:t>
      </w:r>
      <w:r w:rsidR="00F23C07">
        <w:rPr>
          <w:lang w:val="en-GB"/>
        </w:rPr>
        <w:t>ared internationally (Watson &amp;</w:t>
      </w:r>
      <w:r w:rsidR="00AB517D">
        <w:rPr>
          <w:lang w:val="en-GB"/>
        </w:rPr>
        <w:t xml:space="preserve"> Mason</w:t>
      </w:r>
      <w:r w:rsidR="00BA612D">
        <w:rPr>
          <w:lang w:val="en-GB"/>
        </w:rPr>
        <w:t>,</w:t>
      </w:r>
      <w:r w:rsidR="00AB517D">
        <w:rPr>
          <w:lang w:val="en-GB"/>
        </w:rPr>
        <w:t xml:space="preserve"> </w:t>
      </w:r>
      <w:r w:rsidR="00BA612D">
        <w:rPr>
          <w:lang w:val="en-GB"/>
        </w:rPr>
        <w:t>2007</w:t>
      </w:r>
      <w:r w:rsidR="00AB517D">
        <w:rPr>
          <w:lang w:val="en-GB"/>
        </w:rPr>
        <w:t>).</w:t>
      </w:r>
      <w:r w:rsidR="00B5651E">
        <w:rPr>
          <w:lang w:val="en-GB"/>
        </w:rPr>
        <w:t xml:space="preserve"> </w:t>
      </w:r>
      <w:r w:rsidR="00AB517D">
        <w:rPr>
          <w:lang w:val="en-GB"/>
        </w:rPr>
        <w:t>Where we might differ from others is in the established, integrated, relationship between all aspects of our course (</w:t>
      </w:r>
      <w:r w:rsidR="00BE7447">
        <w:rPr>
          <w:lang w:val="en-GB"/>
        </w:rPr>
        <w:t xml:space="preserve">McIntyre, </w:t>
      </w:r>
      <w:proofErr w:type="spellStart"/>
      <w:r w:rsidR="00BE7447">
        <w:rPr>
          <w:lang w:val="en-GB"/>
        </w:rPr>
        <w:t>Hagger</w:t>
      </w:r>
      <w:proofErr w:type="spellEnd"/>
      <w:r w:rsidR="00BE7447">
        <w:rPr>
          <w:lang w:val="en-GB"/>
        </w:rPr>
        <w:t xml:space="preserve"> &amp; Burn</w:t>
      </w:r>
      <w:r w:rsidR="00A23A00">
        <w:rPr>
          <w:lang w:val="en-GB"/>
        </w:rPr>
        <w:t>, 1994; Furlong et al., 2000).</w:t>
      </w:r>
      <w:r w:rsidR="004B5A65">
        <w:rPr>
          <w:lang w:val="en-GB"/>
        </w:rPr>
        <w:t xml:space="preserve"> </w:t>
      </w:r>
      <w:r w:rsidR="00AB517D">
        <w:rPr>
          <w:lang w:val="en-GB"/>
        </w:rPr>
        <w:t xml:space="preserve">It would be wrong to give an impression that there is a finely-detailed </w:t>
      </w:r>
      <w:r w:rsidR="004B5A65">
        <w:rPr>
          <w:lang w:val="en-GB"/>
        </w:rPr>
        <w:t xml:space="preserve">advance </w:t>
      </w:r>
      <w:r w:rsidR="00AB517D">
        <w:rPr>
          <w:lang w:val="en-GB"/>
        </w:rPr>
        <w:t>plan underneath what we do</w:t>
      </w:r>
      <w:r w:rsidR="004B5A65">
        <w:rPr>
          <w:lang w:val="en-GB"/>
        </w:rPr>
        <w:t>. E</w:t>
      </w:r>
      <w:r w:rsidR="00AB517D">
        <w:rPr>
          <w:lang w:val="en-GB"/>
        </w:rPr>
        <w:t xml:space="preserve">ach </w:t>
      </w:r>
      <w:r w:rsidR="00C71694">
        <w:rPr>
          <w:lang w:val="en-GB"/>
        </w:rPr>
        <w:t>prospective teacher</w:t>
      </w:r>
      <w:r w:rsidR="00AB517D">
        <w:rPr>
          <w:lang w:val="en-GB"/>
        </w:rPr>
        <w:t xml:space="preserve"> teaches different years, groups and topics in school</w:t>
      </w:r>
      <w:r w:rsidR="00E512EC">
        <w:rPr>
          <w:lang w:val="en-GB"/>
        </w:rPr>
        <w:t>,</w:t>
      </w:r>
      <w:r w:rsidR="00AB517D">
        <w:rPr>
          <w:lang w:val="en-GB"/>
        </w:rPr>
        <w:t xml:space="preserve"> </w:t>
      </w:r>
      <w:r w:rsidR="004B5A65">
        <w:rPr>
          <w:lang w:val="en-GB"/>
        </w:rPr>
        <w:t xml:space="preserve">so </w:t>
      </w:r>
      <w:r w:rsidR="00AB517D">
        <w:rPr>
          <w:lang w:val="en-GB"/>
        </w:rPr>
        <w:t xml:space="preserve">mentoring is responsive </w:t>
      </w:r>
      <w:r w:rsidR="00C71694">
        <w:rPr>
          <w:lang w:val="en-GB"/>
        </w:rPr>
        <w:t>to individual</w:t>
      </w:r>
      <w:r w:rsidR="004B5A65">
        <w:rPr>
          <w:lang w:val="en-GB"/>
        </w:rPr>
        <w:t xml:space="preserve">s. Our </w:t>
      </w:r>
      <w:r w:rsidR="00AB517D">
        <w:rPr>
          <w:lang w:val="en-GB"/>
        </w:rPr>
        <w:t>teaching focuses on coherent mathematical meaning, and is influenced by the ‘preparing to teach’ framework</w:t>
      </w:r>
      <w:r w:rsidR="009F694B">
        <w:rPr>
          <w:lang w:val="en-GB"/>
        </w:rPr>
        <w:t>s</w:t>
      </w:r>
      <w:r w:rsidR="00AB517D">
        <w:rPr>
          <w:lang w:val="en-GB"/>
        </w:rPr>
        <w:t xml:space="preserve"> developed at the Open University in the 1980s (</w:t>
      </w:r>
      <w:r w:rsidR="00DF4D4B">
        <w:rPr>
          <w:lang w:val="en-GB"/>
        </w:rPr>
        <w:t xml:space="preserve">e.g. </w:t>
      </w:r>
      <w:r w:rsidR="00D17276">
        <w:rPr>
          <w:lang w:val="en-GB"/>
        </w:rPr>
        <w:t>Griffin</w:t>
      </w:r>
      <w:r w:rsidR="00F23C07">
        <w:rPr>
          <w:lang w:val="en-GB"/>
        </w:rPr>
        <w:t xml:space="preserve"> &amp;</w:t>
      </w:r>
      <w:r w:rsidR="00D17276">
        <w:rPr>
          <w:lang w:val="en-GB"/>
        </w:rPr>
        <w:t xml:space="preserve"> Gates</w:t>
      </w:r>
      <w:r w:rsidR="00BE7447">
        <w:rPr>
          <w:lang w:val="en-GB"/>
        </w:rPr>
        <w:t>,</w:t>
      </w:r>
      <w:r w:rsidR="00D17276">
        <w:rPr>
          <w:lang w:val="en-GB"/>
        </w:rPr>
        <w:t xml:space="preserve"> 1989</w:t>
      </w:r>
      <w:r w:rsidR="004B5A65">
        <w:rPr>
          <w:lang w:val="en-GB"/>
        </w:rPr>
        <w:t xml:space="preserve">). </w:t>
      </w:r>
      <w:r w:rsidR="00AB517D">
        <w:rPr>
          <w:lang w:val="en-GB"/>
        </w:rPr>
        <w:t>Th</w:t>
      </w:r>
      <w:r w:rsidR="009F694B">
        <w:rPr>
          <w:lang w:val="en-GB"/>
        </w:rPr>
        <w:t>is</w:t>
      </w:r>
      <w:r w:rsidR="00AB517D">
        <w:rPr>
          <w:lang w:val="en-GB"/>
        </w:rPr>
        <w:t xml:space="preserve"> framework</w:t>
      </w:r>
      <w:r w:rsidR="009F694B">
        <w:rPr>
          <w:lang w:val="en-GB"/>
        </w:rPr>
        <w:t xml:space="preserve"> (which is still evolving)</w:t>
      </w:r>
      <w:r w:rsidR="00AB517D">
        <w:rPr>
          <w:lang w:val="en-GB"/>
        </w:rPr>
        <w:t xml:space="preserve"> offers three </w:t>
      </w:r>
      <w:r w:rsidR="00AB517D">
        <w:rPr>
          <w:lang w:val="en-GB"/>
        </w:rPr>
        <w:lastRenderedPageBreak/>
        <w:t>dimensions, cognitive</w:t>
      </w:r>
      <w:r w:rsidR="00CC1F11">
        <w:rPr>
          <w:lang w:val="en-GB"/>
        </w:rPr>
        <w:t xml:space="preserve"> awareness</w:t>
      </w:r>
      <w:r w:rsidR="00AB517D">
        <w:rPr>
          <w:lang w:val="en-GB"/>
        </w:rPr>
        <w:t xml:space="preserve">, behaviour and </w:t>
      </w:r>
      <w:r w:rsidR="00CC1F11">
        <w:rPr>
          <w:lang w:val="en-GB"/>
        </w:rPr>
        <w:t>emotional engagement</w:t>
      </w:r>
      <w:r w:rsidR="004B5A65">
        <w:rPr>
          <w:lang w:val="en-GB"/>
        </w:rPr>
        <w:t xml:space="preserve">, </w:t>
      </w:r>
      <w:r w:rsidR="00AB517D">
        <w:rPr>
          <w:lang w:val="en-GB"/>
        </w:rPr>
        <w:t xml:space="preserve">to </w:t>
      </w:r>
      <w:r w:rsidR="004B5A65">
        <w:rPr>
          <w:lang w:val="en-GB"/>
        </w:rPr>
        <w:t>think about teaching a</w:t>
      </w:r>
      <w:r w:rsidR="00AB517D">
        <w:rPr>
          <w:lang w:val="en-GB"/>
        </w:rPr>
        <w:t xml:space="preserve"> topic</w:t>
      </w:r>
      <w:r w:rsidR="004B5A65">
        <w:rPr>
          <w:lang w:val="en-GB"/>
        </w:rPr>
        <w:t xml:space="preserve"> (see Figure 1)</w:t>
      </w:r>
      <w:r w:rsidR="00AB517D">
        <w:rPr>
          <w:lang w:val="en-GB"/>
        </w:rPr>
        <w:t>.</w:t>
      </w:r>
      <w:r w:rsidR="004B5A65" w:rsidRPr="004B5A65">
        <w:rPr>
          <w:lang w:val="en-GB"/>
        </w:rPr>
        <w:t xml:space="preserve"> </w:t>
      </w:r>
    </w:p>
    <w:p w:rsidR="004B5A65" w:rsidRDefault="004B5A65" w:rsidP="004B5A65">
      <w:pPr>
        <w:rPr>
          <w:lang w:val="en-GB"/>
        </w:rPr>
      </w:pPr>
      <w:r>
        <w:rPr>
          <w:lang w:val="en-GB"/>
        </w:rPr>
        <w:t>In our teaching, therefore, we offer opportunities to do some mathematics and talk about it, to articulate their responses to it, and to think about how these would be contextualised for their students in school. For this chapter we observed each other teaching and identified common principles of how we do this.</w:t>
      </w:r>
      <w:r w:rsidR="00B5651E">
        <w:rPr>
          <w:lang w:val="en-GB"/>
        </w:rPr>
        <w:t xml:space="preserve"> </w:t>
      </w:r>
      <w:r>
        <w:rPr>
          <w:lang w:val="en-GB"/>
        </w:rPr>
        <w:t xml:space="preserve">Since we are teaching teachers, we often state openly to them and each other how we have planned our sessions, but what we had not realised until this shared observation and analysis was that we also adhere to similar methods of putting these into practice, using </w:t>
      </w:r>
      <w:r w:rsidR="00C71694">
        <w:rPr>
          <w:lang w:val="en-GB"/>
        </w:rPr>
        <w:t>prospective teachers</w:t>
      </w:r>
      <w:r>
        <w:rPr>
          <w:lang w:val="en-GB"/>
        </w:rPr>
        <w:t>’ comments to develop a critical atmosphere.</w:t>
      </w:r>
    </w:p>
    <w:p w:rsidR="001E662A" w:rsidRDefault="001E662A" w:rsidP="00726AED">
      <w:pPr>
        <w:rPr>
          <w:lang w:val="en-GB"/>
        </w:rPr>
      </w:pPr>
    </w:p>
    <w:p w:rsidR="00B4704D" w:rsidRDefault="009E484F" w:rsidP="00B4704D">
      <w:pPr>
        <w:pStyle w:val="Figure"/>
        <w:rPr>
          <w:lang w:val="en-GB"/>
        </w:rPr>
      </w:pPr>
      <w:r>
        <w:rPr>
          <w:noProof/>
          <w:lang w:val="en-GB" w:eastAsia="en-GB"/>
        </w:rPr>
        <w:drawing>
          <wp:inline distT="0" distB="0" distL="0" distR="0">
            <wp:extent cx="4236720" cy="1790700"/>
            <wp:effectExtent l="19050" t="0" r="0" b="0"/>
            <wp:docPr id="2" name="Picture 2" descr="SoaT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aT BW"/>
                    <pic:cNvPicPr>
                      <a:picLocks noChangeAspect="1" noChangeArrowheads="1"/>
                    </pic:cNvPicPr>
                  </pic:nvPicPr>
                  <pic:blipFill>
                    <a:blip r:embed="rId7" cstate="print"/>
                    <a:srcRect/>
                    <a:stretch>
                      <a:fillRect/>
                    </a:stretch>
                  </pic:blipFill>
                  <pic:spPr bwMode="auto">
                    <a:xfrm>
                      <a:off x="0" y="0"/>
                      <a:ext cx="4236720" cy="1790700"/>
                    </a:xfrm>
                    <a:prstGeom prst="rect">
                      <a:avLst/>
                    </a:prstGeom>
                    <a:noFill/>
                    <a:ln w="9525">
                      <a:noFill/>
                      <a:miter lim="800000"/>
                      <a:headEnd/>
                      <a:tailEnd/>
                    </a:ln>
                  </pic:spPr>
                </pic:pic>
              </a:graphicData>
            </a:graphic>
          </wp:inline>
        </w:drawing>
      </w:r>
    </w:p>
    <w:p w:rsidR="001E662A" w:rsidRDefault="00B4704D" w:rsidP="004A4B29">
      <w:pPr>
        <w:jc w:val="center"/>
        <w:rPr>
          <w:i/>
          <w:sz w:val="18"/>
          <w:szCs w:val="18"/>
          <w:lang w:val="en-GB"/>
        </w:rPr>
      </w:pPr>
      <w:r w:rsidRPr="004A4B29">
        <w:rPr>
          <w:rStyle w:val="capLabel"/>
          <w:sz w:val="18"/>
          <w:szCs w:val="18"/>
        </w:rPr>
        <w:t>Figure -</w:t>
      </w:r>
      <w:fldSimple w:instr=" SEQ f2539473 \* arabic \* MERGEFORMAT ">
        <w:r w:rsidRPr="004A4B29">
          <w:rPr>
            <w:rStyle w:val="capLabel"/>
            <w:sz w:val="18"/>
            <w:szCs w:val="18"/>
          </w:rPr>
          <w:t>1</w:t>
        </w:r>
      </w:fldSimple>
      <w:r w:rsidRPr="004A4B29">
        <w:rPr>
          <w:rStyle w:val="capLabel"/>
          <w:i w:val="0"/>
          <w:sz w:val="18"/>
          <w:szCs w:val="18"/>
        </w:rPr>
        <w:t>.</w:t>
      </w:r>
      <w:r w:rsidR="004A4B29" w:rsidRPr="004A4B29">
        <w:rPr>
          <w:i/>
          <w:sz w:val="18"/>
          <w:szCs w:val="18"/>
        </w:rPr>
        <w:t xml:space="preserve"> P</w:t>
      </w:r>
      <w:r w:rsidRPr="004A4B29">
        <w:rPr>
          <w:i/>
          <w:sz w:val="18"/>
          <w:szCs w:val="18"/>
        </w:rPr>
        <w:t>reparing to teach framework</w:t>
      </w:r>
      <w:r w:rsidR="004A4B29" w:rsidRPr="004A4B29">
        <w:rPr>
          <w:i/>
          <w:sz w:val="18"/>
          <w:szCs w:val="18"/>
        </w:rPr>
        <w:t xml:space="preserve"> </w:t>
      </w:r>
      <w:r w:rsidR="004A4B29" w:rsidRPr="004A4B29">
        <w:rPr>
          <w:i/>
          <w:sz w:val="18"/>
          <w:szCs w:val="18"/>
          <w:lang w:val="en-GB"/>
        </w:rPr>
        <w:t>(taken from Mason, 2002)</w:t>
      </w:r>
    </w:p>
    <w:p w:rsidR="004B5A65" w:rsidRDefault="004B5A65" w:rsidP="00726AED">
      <w:pPr>
        <w:rPr>
          <w:lang w:val="en-GB"/>
        </w:rPr>
      </w:pPr>
    </w:p>
    <w:p w:rsidR="00675F27" w:rsidRDefault="00AB517D" w:rsidP="00726AED">
      <w:pPr>
        <w:rPr>
          <w:lang w:val="en-GB"/>
        </w:rPr>
      </w:pPr>
      <w:r>
        <w:rPr>
          <w:lang w:val="en-GB"/>
        </w:rPr>
        <w:t xml:space="preserve">Typically, we offer a mathematical task </w:t>
      </w:r>
      <w:r w:rsidR="00C35C37">
        <w:rPr>
          <w:lang w:val="en-GB"/>
        </w:rPr>
        <w:t xml:space="preserve">or set of tasks </w:t>
      </w:r>
      <w:r>
        <w:rPr>
          <w:lang w:val="en-GB"/>
        </w:rPr>
        <w:t xml:space="preserve">which relates directly to the school curriculum, and which can be tackled by all </w:t>
      </w:r>
      <w:r w:rsidR="00C71694">
        <w:rPr>
          <w:lang w:val="en-GB"/>
        </w:rPr>
        <w:t>prospective teachers</w:t>
      </w:r>
      <w:r>
        <w:rPr>
          <w:lang w:val="en-GB"/>
        </w:rPr>
        <w:t>. Often, this task w</w:t>
      </w:r>
      <w:r w:rsidR="00C71694">
        <w:rPr>
          <w:lang w:val="en-GB"/>
        </w:rPr>
        <w:t>ill trigger experiences they</w:t>
      </w:r>
      <w:r>
        <w:rPr>
          <w:lang w:val="en-GB"/>
        </w:rPr>
        <w:t xml:space="preserve"> have had in school, either as teachers, supporters, or as learners. Soon after this, we give a new task which develops from the earlier one, but which is unexpectedl</w:t>
      </w:r>
      <w:r w:rsidR="00C71694">
        <w:rPr>
          <w:lang w:val="en-GB"/>
        </w:rPr>
        <w:t xml:space="preserve">y harder for some reason. </w:t>
      </w:r>
      <w:r w:rsidR="00C35C37">
        <w:rPr>
          <w:lang w:val="en-GB"/>
        </w:rPr>
        <w:t>It might demand comparisons between tasks or methods.</w:t>
      </w:r>
      <w:r w:rsidR="00B5651E">
        <w:rPr>
          <w:lang w:val="en-GB"/>
        </w:rPr>
        <w:t xml:space="preserve"> </w:t>
      </w:r>
      <w:r>
        <w:rPr>
          <w:lang w:val="en-GB"/>
        </w:rPr>
        <w:t>We may have asked an unexpected question in a familiar context, or pushed a mathematical commonplace into an unfamiliar arena, or g</w:t>
      </w:r>
      <w:r w:rsidR="00E512EC">
        <w:rPr>
          <w:lang w:val="en-GB"/>
        </w:rPr>
        <w:t>one</w:t>
      </w:r>
      <w:r>
        <w:rPr>
          <w:lang w:val="en-GB"/>
        </w:rPr>
        <w:t xml:space="preserve"> beyond the usual range of numbers or shapes, or questioned something which is often assumed. An example of this might be to ask </w:t>
      </w:r>
      <w:r w:rsidR="00C71694">
        <w:rPr>
          <w:lang w:val="en-GB"/>
        </w:rPr>
        <w:t>prospective teachers</w:t>
      </w:r>
      <w:r>
        <w:rPr>
          <w:lang w:val="en-GB"/>
        </w:rPr>
        <w:t xml:space="preserve"> if it is valid to join the points of a curve which has been generated from integer data.</w:t>
      </w:r>
      <w:r w:rsidR="00B5651E">
        <w:rPr>
          <w:lang w:val="en-GB"/>
        </w:rPr>
        <w:t xml:space="preserve"> </w:t>
      </w:r>
      <w:r>
        <w:rPr>
          <w:lang w:val="en-GB"/>
        </w:rPr>
        <w:t>The</w:t>
      </w:r>
      <w:r w:rsidR="00E512EC">
        <w:rPr>
          <w:lang w:val="en-GB"/>
        </w:rPr>
        <w:t xml:space="preserve"> introduction of such</w:t>
      </w:r>
      <w:r>
        <w:rPr>
          <w:lang w:val="en-GB"/>
        </w:rPr>
        <w:t xml:space="preserve"> shifts</w:t>
      </w:r>
      <w:r w:rsidR="002453A0">
        <w:rPr>
          <w:lang w:val="en-GB"/>
        </w:rPr>
        <w:t xml:space="preserve"> and comparisons</w:t>
      </w:r>
      <w:r>
        <w:rPr>
          <w:lang w:val="en-GB"/>
        </w:rPr>
        <w:t xml:space="preserve"> generate</w:t>
      </w:r>
      <w:r w:rsidR="00E512EC">
        <w:rPr>
          <w:lang w:val="en-GB"/>
        </w:rPr>
        <w:t xml:space="preserve">s </w:t>
      </w:r>
      <w:r>
        <w:rPr>
          <w:lang w:val="en-GB"/>
        </w:rPr>
        <w:t>uncertainty, debate, intrigue, disturbance, which is not publicly resolved but becomes more comfortable through shared perceptions and thought about pedagogical implications.</w:t>
      </w:r>
      <w:r w:rsidR="00B5651E">
        <w:rPr>
          <w:lang w:val="en-GB"/>
        </w:rPr>
        <w:t xml:space="preserve"> </w:t>
      </w:r>
    </w:p>
    <w:p w:rsidR="00675F27" w:rsidRDefault="004F2717" w:rsidP="00726AED">
      <w:pPr>
        <w:rPr>
          <w:lang w:val="en-GB"/>
        </w:rPr>
      </w:pPr>
      <w:r>
        <w:rPr>
          <w:lang w:val="en-GB"/>
        </w:rPr>
        <w:lastRenderedPageBreak/>
        <w:t>In the next three sections we present accounts of three teaching episodes and relate them to this theoretical perspective.</w:t>
      </w:r>
    </w:p>
    <w:p w:rsidR="00B4704D" w:rsidRDefault="00BD4CB2" w:rsidP="00F23C07">
      <w:pPr>
        <w:pStyle w:val="Heading1"/>
        <w:numPr>
          <w:ilvl w:val="0"/>
          <w:numId w:val="0"/>
        </w:numPr>
        <w:rPr>
          <w:lang w:val="en-GB"/>
        </w:rPr>
      </w:pPr>
      <w:r>
        <w:rPr>
          <w:lang w:val="en-GB"/>
        </w:rPr>
        <w:br w:type="page"/>
      </w:r>
      <w:r w:rsidR="00AB517D">
        <w:rPr>
          <w:lang w:val="en-GB"/>
        </w:rPr>
        <w:lastRenderedPageBreak/>
        <w:t>Working with a line segment to think about shifts of understanding</w:t>
      </w:r>
    </w:p>
    <w:p w:rsidR="00675F27" w:rsidRDefault="004A4B29" w:rsidP="00550E64">
      <w:pPr>
        <w:pStyle w:val="Figure"/>
        <w:jc w:val="left"/>
        <w:rPr>
          <w:lang w:val="en-GB"/>
        </w:rPr>
      </w:pPr>
      <w:r>
        <w:rPr>
          <w:noProof/>
          <w:lang w:eastAsia="en-US"/>
        </w:rPr>
      </w:r>
      <w:r w:rsidR="00320D79" w:rsidRPr="004A4B29">
        <w:rPr>
          <w:lang w:val="en-GB"/>
        </w:rPr>
        <w:pict>
          <v:group id="_x0000_s1091" editas="canvas" style="width:396.8pt;height:213.3pt;mso-position-horizontal-relative:char;mso-position-vertical-relative:line" coordorigin="1671,2199" coordsize="7936,426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2" type="#_x0000_t75" style="position:absolute;left:1671;top:2199;width:7936;height:4266" o:preferrelative="f">
              <v:fill o:detectmouseclick="t"/>
              <v:path o:extrusionok="t" o:connecttype="none"/>
              <o:lock v:ext="edit" text="t"/>
            </v:shape>
            <v:line id="_x0000_s1093" style="position:absolute" from="2885,2820" to="6845,2821" strokeweight="3pt"/>
            <v:line id="_x0000_s1094" style="position:absolute" from="2880,5712" to="8820,5714" strokeweight="3pt"/>
            <v:oval id="_x0000_s1095" style="position:absolute;left:2705;top:2742;width:180;height:180" fillcolor="black"/>
            <v:oval id="_x0000_s1096" style="position:absolute;left:5058;top:2742;width:180;height:180" fillcolor="black"/>
            <v:oval id="_x0000_s1097" style="position:absolute;left:8820;top:5619;width:180;height:180" fillcolor="black"/>
            <v:oval id="_x0000_s1098" style="position:absolute;left:6840;top:2742;width:180;height:180" fillcolor="black"/>
            <v:oval id="_x0000_s1099" style="position:absolute;left:2700;top:5619;width:180;height:180" fillcolor="black"/>
            <v:oval id="_x0000_s1100" style="position:absolute;left:6068;top:5622;width:180;height:180" fillcolor="black"/>
            <v:group id="_x0000_s1101" style="position:absolute;left:2700;top:4120;width:6702;height:181" coordorigin="2700,3279" coordsize="6702,181">
              <v:line id="_x0000_s1102" style="position:absolute" from="2880,3374" to="8820,3375" strokeweight="3pt"/>
              <v:oval id="_x0000_s1103" style="position:absolute;left:2700;top:3279;width:180;height:179" fillcolor="black"/>
              <v:oval id="_x0000_s1104" style="position:absolute;left:5058;top:3280;width:180;height:180" fillcolor="black"/>
              <v:oval id="_x0000_s1105" style="position:absolute;left:8820;top:3280;width:180;height:180" fillcolor="black"/>
              <v:line id="_x0000_s1106" style="position:absolute" from="9040,3458" to="9402,3459">
                <v:stroke endarrow="block"/>
              </v:line>
            </v:group>
            <v:line id="_x0000_s1107" style="position:absolute" from="9040,5801" to="9402,5802">
              <v:stroke endarrow="block"/>
            </v:line>
            <v:shape id="_x0000_s1108" type="#_x0000_t202" style="position:absolute;left:2880;top:2922;width:1381;height:476" stroked="f">
              <v:textbox style="mso-next-textbox:#_x0000_s1108">
                <w:txbxContent>
                  <w:p w:rsidR="004A4B29" w:rsidRPr="00E512EC" w:rsidRDefault="00FA73CE" w:rsidP="004A4B29">
                    <w:pPr>
                      <w:rPr>
                        <w:lang w:val="en-GB"/>
                      </w:rPr>
                    </w:pPr>
                    <w:r>
                      <w:rPr>
                        <w:lang w:val="en-GB"/>
                      </w:rPr>
                      <w:t>Image</w:t>
                    </w:r>
                    <w:r w:rsidR="004A4B29">
                      <w:rPr>
                        <w:lang w:val="en-GB"/>
                      </w:rPr>
                      <w:t>1</w:t>
                    </w:r>
                  </w:p>
                </w:txbxContent>
              </v:textbox>
            </v:shape>
            <v:shape id="_x0000_s1109" type="#_x0000_t202" style="position:absolute;left:2885;top:4299;width:1516;height:476" stroked="f">
              <v:textbox style="mso-next-textbox:#_x0000_s1109">
                <w:txbxContent>
                  <w:p w:rsidR="004A4B29" w:rsidRPr="00E512EC" w:rsidRDefault="00FA73CE" w:rsidP="004A4B29">
                    <w:pPr>
                      <w:rPr>
                        <w:lang w:val="en-GB"/>
                      </w:rPr>
                    </w:pPr>
                    <w:r>
                      <w:rPr>
                        <w:lang w:val="en-GB"/>
                      </w:rPr>
                      <w:t>Image 2</w:t>
                    </w:r>
                  </w:p>
                </w:txbxContent>
              </v:textbox>
            </v:shape>
            <v:shape id="_x0000_s1110" type="#_x0000_t202" style="position:absolute;left:2880;top:5802;width:1521;height:476" stroked="f">
              <v:textbox style="mso-next-textbox:#_x0000_s1110">
                <w:txbxContent>
                  <w:p w:rsidR="004A4B29" w:rsidRPr="00E512EC" w:rsidRDefault="00550E64" w:rsidP="004A4B29">
                    <w:pPr>
                      <w:rPr>
                        <w:lang w:val="en-GB"/>
                      </w:rPr>
                    </w:pPr>
                    <w:r>
                      <w:rPr>
                        <w:lang w:val="en-GB"/>
                      </w:rPr>
                      <w:t xml:space="preserve">Image </w:t>
                    </w:r>
                    <w:r w:rsidR="004A4B29">
                      <w:rPr>
                        <w:lang w:val="en-GB"/>
                      </w:rPr>
                      <w:t>3</w:t>
                    </w:r>
                  </w:p>
                </w:txbxContent>
              </v:textbox>
            </v:shape>
            <v:line id="_x0000_s1111" style="position:absolute" from="5058,3075" to="5368,3075">
              <v:stroke endarrow="block"/>
            </v:line>
            <v:shapetype id="_x0000_t32" coordsize="21600,21600" o:spt="32" o:oned="t" path="m,l21600,21600e" filled="f">
              <v:path arrowok="t" fillok="f" o:connecttype="none"/>
              <o:lock v:ext="edit" shapetype="t"/>
            </v:shapetype>
            <v:shape id="_x0000_s1115" type="#_x0000_t32" style="position:absolute;left:2031;top:2345;width:7575;height:15" o:connectortype="straight"/>
            <v:shape id="_x0000_s1116" type="#_x0000_t32" style="position:absolute;left:2031;top:2345;width:0;height:3933" o:connectortype="straight"/>
            <v:shape id="_x0000_s1117" type="#_x0000_t32" style="position:absolute;left:9606;top:2345;width:1;height:3933" o:connectortype="straight"/>
            <v:shape id="_x0000_s1118" type="#_x0000_t32" style="position:absolute;left:2031;top:6278;width:7575;height:0" o:connectortype="straight"/>
            <w10:wrap type="none"/>
            <w10:anchorlock/>
          </v:group>
        </w:pict>
      </w:r>
      <w:r w:rsidR="00265E97" w:rsidRPr="00184B08">
        <w:rPr>
          <w:lang w:val="en-GB"/>
        </w:rPr>
        <w:t>Static i</w:t>
      </w:r>
      <w:r w:rsidR="00AB517D" w:rsidRPr="00184B08">
        <w:rPr>
          <w:lang w:val="en-GB"/>
        </w:rPr>
        <w:t xml:space="preserve">mage 1 was projected on the board as </w:t>
      </w:r>
      <w:r w:rsidR="00C71694">
        <w:rPr>
          <w:lang w:val="en-GB"/>
        </w:rPr>
        <w:t>prospective teachers</w:t>
      </w:r>
      <w:r w:rsidR="00AB517D" w:rsidRPr="00184B08">
        <w:rPr>
          <w:lang w:val="en-GB"/>
        </w:rPr>
        <w:t xml:space="preserve"> entered the room. They were asked to say what they saw. Initial comments were: ‘65%’ and ‘golden ratio’ and ‘a black line with blobs on’. The diagram was then animated</w:t>
      </w:r>
      <w:r w:rsidR="007B25D7" w:rsidRPr="00184B08">
        <w:rPr>
          <w:lang w:val="en-GB"/>
        </w:rPr>
        <w:t xml:space="preserve"> by moving the middle dot while maintaining the overall length.</w:t>
      </w:r>
      <w:r w:rsidR="00AB517D" w:rsidRPr="00184B08">
        <w:rPr>
          <w:lang w:val="en-GB"/>
        </w:rPr>
        <w:t xml:space="preserve"> I</w:t>
      </w:r>
      <w:r w:rsidR="007B25D7" w:rsidRPr="00184B08">
        <w:rPr>
          <w:rStyle w:val="FootnoteReference"/>
          <w:lang w:val="en-GB"/>
        </w:rPr>
        <w:footnoteReference w:id="1"/>
      </w:r>
      <w:r w:rsidR="00550E64">
        <w:rPr>
          <w:lang w:val="en-GB"/>
        </w:rPr>
        <w:t xml:space="preserve"> </w:t>
      </w:r>
      <w:r w:rsidR="00AB517D" w:rsidRPr="00184B08">
        <w:rPr>
          <w:lang w:val="en-GB"/>
        </w:rPr>
        <w:t xml:space="preserve">then asked them to say more about what they were seeing. </w:t>
      </w:r>
    </w:p>
    <w:p w:rsidR="00AB517D" w:rsidRPr="00184B08" w:rsidRDefault="00AB517D" w:rsidP="00E96520">
      <w:pPr>
        <w:pStyle w:val="BlockQuote"/>
        <w:rPr>
          <w:lang w:val="en-GB"/>
        </w:rPr>
      </w:pPr>
      <w:r w:rsidRPr="00184B08">
        <w:rPr>
          <w:lang w:val="en-GB"/>
        </w:rPr>
        <w:t>S</w:t>
      </w:r>
      <w:r w:rsidR="00973690" w:rsidRPr="00184B08">
        <w:rPr>
          <w:lang w:val="en-GB"/>
        </w:rPr>
        <w:t>andy</w:t>
      </w:r>
      <w:r w:rsidRPr="00184B08">
        <w:rPr>
          <w:lang w:val="en-GB"/>
        </w:rPr>
        <w:t>: a line of set length which is divided into two sections – two variable lengths – well one is variable and the other is fixed to the variable</w:t>
      </w:r>
    </w:p>
    <w:p w:rsidR="00675F27" w:rsidRDefault="00973690" w:rsidP="00E96520">
      <w:pPr>
        <w:pStyle w:val="BlockQuote"/>
        <w:rPr>
          <w:lang w:val="en-GB"/>
        </w:rPr>
      </w:pPr>
      <w:r w:rsidRPr="00184B08">
        <w:rPr>
          <w:lang w:val="en-GB"/>
        </w:rPr>
        <w:t>Pat</w:t>
      </w:r>
      <w:r w:rsidR="00AB517D" w:rsidRPr="00184B08">
        <w:rPr>
          <w:lang w:val="en-GB"/>
        </w:rPr>
        <w:t>: there are two or three lengths, which is the starting length?</w:t>
      </w:r>
    </w:p>
    <w:p w:rsidR="00675F27" w:rsidRDefault="00AB517D" w:rsidP="00726AED">
      <w:pPr>
        <w:rPr>
          <w:lang w:val="en-GB"/>
        </w:rPr>
      </w:pPr>
      <w:r w:rsidRPr="00184B08">
        <w:rPr>
          <w:lang w:val="en-GB"/>
        </w:rPr>
        <w:t xml:space="preserve">I commented that they had shifted from trying to guess what the diagram meant to reporting what they had seen, and that this shift appeared to have come when I animated the diagram and asked them to say what they saw. </w:t>
      </w:r>
    </w:p>
    <w:p w:rsidR="00675F27" w:rsidRDefault="00973690" w:rsidP="00E96520">
      <w:pPr>
        <w:pStyle w:val="BlockQuote"/>
        <w:rPr>
          <w:lang w:val="en-GB"/>
        </w:rPr>
      </w:pPr>
      <w:r w:rsidRPr="00184B08">
        <w:rPr>
          <w:lang w:val="en-GB"/>
        </w:rPr>
        <w:t>Don</w:t>
      </w:r>
      <w:r w:rsidR="00AB517D" w:rsidRPr="00184B08">
        <w:rPr>
          <w:lang w:val="en-GB"/>
        </w:rPr>
        <w:t>: part of the line has a variable length</w:t>
      </w:r>
    </w:p>
    <w:p w:rsidR="00675F27" w:rsidRDefault="00AB517D" w:rsidP="00726AED">
      <w:pPr>
        <w:rPr>
          <w:lang w:val="en-GB"/>
        </w:rPr>
      </w:pPr>
      <w:r w:rsidRPr="00184B08">
        <w:rPr>
          <w:lang w:val="en-GB"/>
        </w:rPr>
        <w:lastRenderedPageBreak/>
        <w:t>I asked them to write down something which represented this variable.</w:t>
      </w:r>
      <w:r w:rsidR="00E96520">
        <w:rPr>
          <w:lang w:val="en-GB"/>
        </w:rPr>
        <w:t xml:space="preserve"> </w:t>
      </w:r>
      <w:r w:rsidR="00C71694">
        <w:rPr>
          <w:lang w:val="en-GB"/>
        </w:rPr>
        <w:t>Eventually someone</w:t>
      </w:r>
      <w:r w:rsidRPr="00184B08">
        <w:rPr>
          <w:lang w:val="en-GB"/>
        </w:rPr>
        <w:t xml:space="preserve"> offered:</w:t>
      </w:r>
    </w:p>
    <w:p w:rsidR="00675F27" w:rsidRPr="00B4704D" w:rsidRDefault="00973690" w:rsidP="00B4704D">
      <w:pPr>
        <w:pStyle w:val="Equation"/>
        <w:rPr>
          <w:i/>
          <w:lang w:val="en-GB"/>
        </w:rPr>
      </w:pPr>
      <w:r w:rsidRPr="00B4704D">
        <w:rPr>
          <w:i/>
          <w:lang w:val="en-GB"/>
        </w:rPr>
        <w:t>t</w:t>
      </w:r>
      <w:r w:rsidR="00AB517D" w:rsidRPr="00B4704D">
        <w:rPr>
          <w:i/>
          <w:lang w:val="en-GB"/>
        </w:rPr>
        <w:t xml:space="preserve"> = </w:t>
      </w:r>
      <w:proofErr w:type="spellStart"/>
      <w:r w:rsidR="00AB517D" w:rsidRPr="00B4704D">
        <w:rPr>
          <w:i/>
          <w:lang w:val="en-GB"/>
        </w:rPr>
        <w:t>kp</w:t>
      </w:r>
      <w:proofErr w:type="spellEnd"/>
      <w:r w:rsidR="00AB517D" w:rsidRPr="00B4704D">
        <w:rPr>
          <w:i/>
          <w:lang w:val="en-GB"/>
        </w:rPr>
        <w:t xml:space="preserve"> + (1-k)p</w:t>
      </w:r>
    </w:p>
    <w:p w:rsidR="00675F27" w:rsidRDefault="00C71694" w:rsidP="00726AED">
      <w:pPr>
        <w:rPr>
          <w:lang w:val="en-GB"/>
        </w:rPr>
      </w:pPr>
      <w:r>
        <w:rPr>
          <w:lang w:val="en-GB"/>
        </w:rPr>
        <w:t>Someone else</w:t>
      </w:r>
      <w:r w:rsidR="00AB517D" w:rsidRPr="00184B08">
        <w:rPr>
          <w:lang w:val="en-GB"/>
        </w:rPr>
        <w:t xml:space="preserve"> observed that this simplifies to </w:t>
      </w:r>
      <w:r w:rsidR="00973690" w:rsidRPr="00184B08">
        <w:rPr>
          <w:i/>
          <w:lang w:val="en-GB"/>
        </w:rPr>
        <w:t>t</w:t>
      </w:r>
      <w:r w:rsidR="00AB517D" w:rsidRPr="00184B08">
        <w:rPr>
          <w:i/>
          <w:lang w:val="en-GB"/>
        </w:rPr>
        <w:t xml:space="preserve"> = p</w:t>
      </w:r>
      <w:r w:rsidR="00AB517D" w:rsidRPr="00184B08">
        <w:rPr>
          <w:lang w:val="en-GB"/>
        </w:rPr>
        <w:t>. The next offering was:</w:t>
      </w:r>
    </w:p>
    <w:p w:rsidR="00675F27" w:rsidRPr="00E96520" w:rsidRDefault="00AB517D" w:rsidP="00E96520">
      <w:pPr>
        <w:pStyle w:val="Equation"/>
        <w:rPr>
          <w:i/>
          <w:lang w:val="en-GB"/>
        </w:rPr>
      </w:pPr>
      <w:r w:rsidRPr="00E96520">
        <w:rPr>
          <w:i/>
          <w:lang w:val="en-GB"/>
        </w:rPr>
        <w:t xml:space="preserve">x + y = L </w:t>
      </w:r>
    </w:p>
    <w:p w:rsidR="00675F27" w:rsidRDefault="00AB517D" w:rsidP="00726AED">
      <w:pPr>
        <w:rPr>
          <w:lang w:val="en-GB"/>
        </w:rPr>
      </w:pPr>
      <w:r w:rsidRPr="00184B08">
        <w:rPr>
          <w:lang w:val="en-GB"/>
        </w:rPr>
        <w:t xml:space="preserve">and I queried the status of each term. </w:t>
      </w:r>
      <w:r w:rsidRPr="00184B08">
        <w:rPr>
          <w:i/>
          <w:lang w:val="en-GB"/>
        </w:rPr>
        <w:t>L</w:t>
      </w:r>
      <w:r w:rsidRPr="00184B08">
        <w:rPr>
          <w:lang w:val="en-GB"/>
        </w:rPr>
        <w:t xml:space="preserve"> was said to be a constant, or given; </w:t>
      </w:r>
      <w:r w:rsidRPr="00184B08">
        <w:rPr>
          <w:i/>
          <w:lang w:val="en-GB"/>
        </w:rPr>
        <w:t>x</w:t>
      </w:r>
      <w:r w:rsidRPr="00184B08">
        <w:rPr>
          <w:lang w:val="en-GB"/>
        </w:rPr>
        <w:t xml:space="preserve"> represented one of the lengths, and</w:t>
      </w:r>
      <w:r w:rsidRPr="00184B08">
        <w:rPr>
          <w:i/>
          <w:lang w:val="en-GB"/>
        </w:rPr>
        <w:t xml:space="preserve"> y</w:t>
      </w:r>
      <w:r w:rsidRPr="00184B08">
        <w:rPr>
          <w:lang w:val="en-GB"/>
        </w:rPr>
        <w:t xml:space="preserve"> was therefore a dependent variable.</w:t>
      </w:r>
      <w:r w:rsidR="00B5651E">
        <w:rPr>
          <w:lang w:val="en-GB"/>
        </w:rPr>
        <w:t xml:space="preserve"> </w:t>
      </w:r>
      <w:r w:rsidRPr="00184B08">
        <w:rPr>
          <w:lang w:val="en-GB"/>
        </w:rPr>
        <w:t>The letters therefore had three different uses in this statement of a relationship.</w:t>
      </w:r>
      <w:r w:rsidR="00B5651E">
        <w:rPr>
          <w:lang w:val="en-GB"/>
        </w:rPr>
        <w:t xml:space="preserve"> </w:t>
      </w:r>
    </w:p>
    <w:p w:rsidR="00675F27" w:rsidRDefault="00C71694" w:rsidP="00726AED">
      <w:pPr>
        <w:rPr>
          <w:lang w:val="en-GB"/>
        </w:rPr>
      </w:pPr>
      <w:r>
        <w:rPr>
          <w:lang w:val="en-GB"/>
        </w:rPr>
        <w:t>Someone</w:t>
      </w:r>
      <w:r w:rsidR="00AB517D" w:rsidRPr="00184B08">
        <w:rPr>
          <w:lang w:val="en-GB"/>
        </w:rPr>
        <w:t xml:space="preserve"> then offered two further versions of the same relationship:</w:t>
      </w:r>
    </w:p>
    <w:p w:rsidR="00AB517D" w:rsidRPr="00E96520" w:rsidRDefault="00AB517D" w:rsidP="00E96520">
      <w:pPr>
        <w:pStyle w:val="BlockQuote"/>
        <w:rPr>
          <w:i/>
          <w:lang w:val="en-GB"/>
        </w:rPr>
      </w:pPr>
      <w:r w:rsidRPr="00E96520">
        <w:rPr>
          <w:i/>
          <w:lang w:val="en-GB"/>
        </w:rPr>
        <w:t>L</w:t>
      </w:r>
      <w:r w:rsidR="00973690" w:rsidRPr="00E96520">
        <w:rPr>
          <w:i/>
          <w:lang w:val="en-GB"/>
        </w:rPr>
        <w:t xml:space="preserve"> – </w:t>
      </w:r>
      <w:r w:rsidRPr="00E96520">
        <w:rPr>
          <w:i/>
          <w:lang w:val="en-GB"/>
        </w:rPr>
        <w:t>x</w:t>
      </w:r>
      <w:r w:rsidR="00973690" w:rsidRPr="00E96520">
        <w:rPr>
          <w:i/>
          <w:lang w:val="en-GB"/>
        </w:rPr>
        <w:t xml:space="preserve"> </w:t>
      </w:r>
      <w:r w:rsidRPr="00E96520">
        <w:rPr>
          <w:i/>
          <w:lang w:val="en-GB"/>
        </w:rPr>
        <w:t>=</w:t>
      </w:r>
      <w:r w:rsidR="00973690" w:rsidRPr="00E96520">
        <w:rPr>
          <w:i/>
          <w:lang w:val="en-GB"/>
        </w:rPr>
        <w:t xml:space="preserve"> </w:t>
      </w:r>
      <w:r w:rsidRPr="00E96520">
        <w:rPr>
          <w:i/>
          <w:lang w:val="en-GB"/>
        </w:rPr>
        <w:t>y</w:t>
      </w:r>
    </w:p>
    <w:p w:rsidR="00675F27" w:rsidRDefault="00AB517D" w:rsidP="00E96520">
      <w:pPr>
        <w:pStyle w:val="BlockQuote"/>
        <w:rPr>
          <w:i/>
          <w:lang w:val="en-GB"/>
        </w:rPr>
      </w:pPr>
      <w:r w:rsidRPr="00184B08">
        <w:rPr>
          <w:i/>
          <w:lang w:val="en-GB"/>
        </w:rPr>
        <w:t>L</w:t>
      </w:r>
      <w:r w:rsidR="00973690" w:rsidRPr="00184B08">
        <w:rPr>
          <w:i/>
          <w:lang w:val="en-GB"/>
        </w:rPr>
        <w:t xml:space="preserve"> – </w:t>
      </w:r>
      <w:r w:rsidRPr="00184B08">
        <w:rPr>
          <w:i/>
          <w:lang w:val="en-GB"/>
        </w:rPr>
        <w:t>y</w:t>
      </w:r>
      <w:r w:rsidR="00973690" w:rsidRPr="00184B08">
        <w:rPr>
          <w:i/>
          <w:lang w:val="en-GB"/>
        </w:rPr>
        <w:t xml:space="preserve"> </w:t>
      </w:r>
      <w:r w:rsidRPr="00184B08">
        <w:rPr>
          <w:i/>
          <w:lang w:val="en-GB"/>
        </w:rPr>
        <w:t>=</w:t>
      </w:r>
      <w:r w:rsidR="00973690" w:rsidRPr="00184B08">
        <w:rPr>
          <w:i/>
          <w:lang w:val="en-GB"/>
        </w:rPr>
        <w:t xml:space="preserve"> </w:t>
      </w:r>
      <w:r w:rsidRPr="00184B08">
        <w:rPr>
          <w:i/>
          <w:lang w:val="en-GB"/>
        </w:rPr>
        <w:t>x</w:t>
      </w:r>
    </w:p>
    <w:p w:rsidR="00675F27" w:rsidRDefault="00AB517D" w:rsidP="00726AED">
      <w:pPr>
        <w:rPr>
          <w:lang w:val="en-GB"/>
        </w:rPr>
      </w:pPr>
      <w:r w:rsidRPr="00184B08">
        <w:rPr>
          <w:lang w:val="en-GB"/>
        </w:rPr>
        <w:t>I said it was important for learners to have a sense of these three representations as a package, as three ways to represent the same relationship.</w:t>
      </w:r>
      <w:r w:rsidR="00E96520">
        <w:rPr>
          <w:lang w:val="en-GB"/>
        </w:rPr>
        <w:t xml:space="preserve"> </w:t>
      </w:r>
      <w:r w:rsidRPr="00184B08">
        <w:rPr>
          <w:lang w:val="en-GB"/>
        </w:rPr>
        <w:t>I then described shifts of understanding that had been demonstrated so far:</w:t>
      </w:r>
    </w:p>
    <w:p w:rsidR="00AB517D" w:rsidRPr="00184B08" w:rsidRDefault="00AB517D" w:rsidP="00B33294">
      <w:pPr>
        <w:pStyle w:val="BlockQuote"/>
        <w:numPr>
          <w:ilvl w:val="0"/>
          <w:numId w:val="50"/>
        </w:numPr>
        <w:spacing w:before="0" w:after="0"/>
        <w:ind w:left="357" w:hanging="357"/>
        <w:rPr>
          <w:lang w:val="en-GB"/>
        </w:rPr>
      </w:pPr>
      <w:r w:rsidRPr="00184B08">
        <w:rPr>
          <w:lang w:val="en-GB"/>
        </w:rPr>
        <w:t>from guessing to being analytical about what they were shown</w:t>
      </w:r>
    </w:p>
    <w:p w:rsidR="00AB517D" w:rsidRPr="00184B08" w:rsidRDefault="00AB517D" w:rsidP="00B33294">
      <w:pPr>
        <w:pStyle w:val="BlockQuote"/>
        <w:numPr>
          <w:ilvl w:val="0"/>
          <w:numId w:val="50"/>
        </w:numPr>
        <w:spacing w:before="0" w:after="0"/>
        <w:ind w:left="357" w:hanging="357"/>
        <w:rPr>
          <w:lang w:val="en-GB"/>
        </w:rPr>
      </w:pPr>
      <w:r w:rsidRPr="00184B08">
        <w:rPr>
          <w:lang w:val="en-GB"/>
        </w:rPr>
        <w:t>from descriptive comments to analysing in terms of variables</w:t>
      </w:r>
    </w:p>
    <w:p w:rsidR="00AB517D" w:rsidRPr="00184B08" w:rsidRDefault="00AB517D" w:rsidP="00B33294">
      <w:pPr>
        <w:pStyle w:val="BlockQuote"/>
        <w:numPr>
          <w:ilvl w:val="0"/>
          <w:numId w:val="50"/>
        </w:numPr>
        <w:spacing w:before="0" w:after="0"/>
        <w:ind w:left="357" w:hanging="357"/>
        <w:rPr>
          <w:lang w:val="en-GB"/>
        </w:rPr>
      </w:pPr>
      <w:r w:rsidRPr="00184B08">
        <w:rPr>
          <w:lang w:val="en-GB"/>
        </w:rPr>
        <w:t>to interpreting what is free to move and what is constrained</w:t>
      </w:r>
    </w:p>
    <w:p w:rsidR="00AB517D" w:rsidRPr="00184B08" w:rsidRDefault="00AB517D" w:rsidP="00B33294">
      <w:pPr>
        <w:pStyle w:val="BlockQuote"/>
        <w:numPr>
          <w:ilvl w:val="0"/>
          <w:numId w:val="50"/>
        </w:numPr>
        <w:spacing w:before="0" w:after="0"/>
        <w:ind w:left="357" w:hanging="357"/>
        <w:rPr>
          <w:lang w:val="en-GB"/>
        </w:rPr>
      </w:pPr>
      <w:r w:rsidRPr="00184B08">
        <w:rPr>
          <w:lang w:val="en-GB"/>
        </w:rPr>
        <w:t>from variables to conjectures about variables</w:t>
      </w:r>
    </w:p>
    <w:p w:rsidR="00675F27" w:rsidRDefault="00AB517D" w:rsidP="00B33294">
      <w:pPr>
        <w:pStyle w:val="BlockQuote"/>
        <w:numPr>
          <w:ilvl w:val="0"/>
          <w:numId w:val="50"/>
        </w:numPr>
        <w:spacing w:before="0" w:after="0"/>
        <w:ind w:left="357" w:hanging="357"/>
        <w:rPr>
          <w:lang w:val="en-GB"/>
        </w:rPr>
      </w:pPr>
      <w:r w:rsidRPr="00184B08">
        <w:rPr>
          <w:lang w:val="en-GB"/>
        </w:rPr>
        <w:t>from variables to relationships</w:t>
      </w:r>
    </w:p>
    <w:p w:rsidR="00675F27" w:rsidRDefault="00E96520" w:rsidP="00726AED">
      <w:pPr>
        <w:rPr>
          <w:lang w:val="en-GB"/>
        </w:rPr>
      </w:pPr>
      <w:r>
        <w:rPr>
          <w:lang w:val="en-GB"/>
        </w:rPr>
        <w:t>I announced that</w:t>
      </w:r>
      <w:r w:rsidR="00AB517D" w:rsidRPr="00184B08">
        <w:rPr>
          <w:lang w:val="en-GB"/>
        </w:rPr>
        <w:t xml:space="preserve"> we were about to shift from additive to multiplicative ways of conceiving relationships. I pointed out that </w:t>
      </w:r>
      <w:r w:rsidR="00AB517D" w:rsidRPr="00184B08">
        <w:rPr>
          <w:i/>
          <w:lang w:val="en-GB"/>
        </w:rPr>
        <w:t>x + y = L</w:t>
      </w:r>
      <w:r w:rsidR="00AB517D" w:rsidRPr="00184B08">
        <w:rPr>
          <w:lang w:val="en-GB"/>
        </w:rPr>
        <w:t xml:space="preserve"> seemed to be an attempt to record an additive relationship, where the earlier attempt </w:t>
      </w:r>
      <w:r w:rsidR="00265E97" w:rsidRPr="00184B08">
        <w:rPr>
          <w:lang w:val="en-GB"/>
        </w:rPr>
        <w:t xml:space="preserve">using </w:t>
      </w:r>
      <w:r w:rsidR="00265E97" w:rsidRPr="00184B08">
        <w:rPr>
          <w:i/>
          <w:lang w:val="en-GB"/>
        </w:rPr>
        <w:t>k</w:t>
      </w:r>
      <w:r w:rsidR="00265E97" w:rsidRPr="00184B08">
        <w:rPr>
          <w:lang w:val="en-GB"/>
        </w:rPr>
        <w:t xml:space="preserve"> seemed to be trying to express</w:t>
      </w:r>
      <w:r w:rsidR="00184B08" w:rsidRPr="00184B08">
        <w:rPr>
          <w:lang w:val="en-GB"/>
        </w:rPr>
        <w:t xml:space="preserve"> a multiplicative relationship. Someone said ‘it is like probability’.</w:t>
      </w:r>
    </w:p>
    <w:p w:rsidR="00675F27" w:rsidRDefault="00E96520" w:rsidP="00726AED">
      <w:pPr>
        <w:rPr>
          <w:lang w:val="en-GB"/>
        </w:rPr>
      </w:pPr>
      <w:r>
        <w:rPr>
          <w:lang w:val="en-GB"/>
        </w:rPr>
        <w:t>I then animated</w:t>
      </w:r>
      <w:r w:rsidR="00B33294">
        <w:rPr>
          <w:lang w:val="en-GB"/>
        </w:rPr>
        <w:t xml:space="preserve"> image 2</w:t>
      </w:r>
      <w:r w:rsidR="00184B08" w:rsidRPr="00184B08">
        <w:rPr>
          <w:lang w:val="en-GB"/>
        </w:rPr>
        <w:t>, the length being</w:t>
      </w:r>
      <w:r w:rsidR="00265E97" w:rsidRPr="00184B08">
        <w:rPr>
          <w:lang w:val="en-GB"/>
        </w:rPr>
        <w:t xml:space="preserve"> extended but the blob which was positioned on the line stayed in the same place.</w:t>
      </w:r>
      <w:r w:rsidR="00184B08" w:rsidRPr="00184B08">
        <w:rPr>
          <w:lang w:val="en-GB"/>
        </w:rPr>
        <w:t xml:space="preserve"> This animation creates a different invariant, but is still additive.</w:t>
      </w:r>
      <w:r>
        <w:rPr>
          <w:lang w:val="en-GB"/>
        </w:rPr>
        <w:t xml:space="preserve"> </w:t>
      </w:r>
      <w:r w:rsidR="00184B08" w:rsidRPr="00184B08">
        <w:rPr>
          <w:lang w:val="en-GB"/>
        </w:rPr>
        <w:t xml:space="preserve">Finally </w:t>
      </w:r>
      <w:r w:rsidR="00AB517D" w:rsidRPr="00184B08">
        <w:rPr>
          <w:lang w:val="en-GB"/>
        </w:rPr>
        <w:t>I animated the line again in the way shown in image 3</w:t>
      </w:r>
      <w:r w:rsidR="00265E97" w:rsidRPr="00184B08">
        <w:rPr>
          <w:lang w:val="en-GB"/>
        </w:rPr>
        <w:t xml:space="preserve">. </w:t>
      </w:r>
      <w:r w:rsidR="00AB517D" w:rsidRPr="00184B08">
        <w:rPr>
          <w:lang w:val="en-GB"/>
        </w:rPr>
        <w:t>Could they all try to express this as a multiplicative relationship?</w:t>
      </w:r>
      <w:r w:rsidR="00B5651E">
        <w:rPr>
          <w:lang w:val="en-GB"/>
        </w:rPr>
        <w:t xml:space="preserve"> </w:t>
      </w:r>
      <w:r w:rsidR="00AB517D" w:rsidRPr="00184B08">
        <w:rPr>
          <w:lang w:val="en-GB"/>
        </w:rPr>
        <w:t>Eventually this was offered:</w:t>
      </w:r>
    </w:p>
    <w:p w:rsidR="00AB517D" w:rsidRPr="00184B08" w:rsidRDefault="00184B08" w:rsidP="00E96520">
      <w:pPr>
        <w:pStyle w:val="BlockQuote"/>
        <w:rPr>
          <w:lang w:val="en-GB"/>
        </w:rPr>
      </w:pPr>
      <w:r w:rsidRPr="00184B08">
        <w:rPr>
          <w:i/>
          <w:lang w:val="en-GB"/>
        </w:rPr>
        <w:t>x</w:t>
      </w:r>
      <w:r w:rsidRPr="00184B08">
        <w:rPr>
          <w:lang w:val="en-GB"/>
        </w:rPr>
        <w:t xml:space="preserve"> = </w:t>
      </w:r>
      <w:r w:rsidRPr="00184B08">
        <w:rPr>
          <w:i/>
          <w:lang w:val="en-GB"/>
        </w:rPr>
        <w:t>k</w:t>
      </w:r>
      <w:r w:rsidRPr="00184B08">
        <w:rPr>
          <w:lang w:val="en-GB"/>
        </w:rPr>
        <w:t xml:space="preserve"> </w:t>
      </w:r>
      <w:r w:rsidRPr="00184B08">
        <w:rPr>
          <w:rFonts w:ascii="Arial" w:hAnsi="Arial"/>
          <w:lang w:val="en-GB"/>
        </w:rPr>
        <w:t>x</w:t>
      </w:r>
      <w:r w:rsidR="00AB517D" w:rsidRPr="00184B08">
        <w:rPr>
          <w:lang w:val="en-GB"/>
        </w:rPr>
        <w:t xml:space="preserve"> total length</w:t>
      </w:r>
    </w:p>
    <w:p w:rsidR="00675F27" w:rsidRDefault="00184B08" w:rsidP="00E96520">
      <w:pPr>
        <w:pStyle w:val="BlockQuote"/>
        <w:rPr>
          <w:lang w:val="en-GB"/>
        </w:rPr>
      </w:pPr>
      <w:r w:rsidRPr="00184B08">
        <w:rPr>
          <w:i/>
          <w:lang w:val="en-GB"/>
        </w:rPr>
        <w:t xml:space="preserve">y </w:t>
      </w:r>
      <w:r w:rsidRPr="00184B08">
        <w:rPr>
          <w:lang w:val="en-GB"/>
        </w:rPr>
        <w:t xml:space="preserve">= </w:t>
      </w:r>
      <w:r w:rsidRPr="00184B08">
        <w:rPr>
          <w:i/>
          <w:lang w:val="en-GB"/>
        </w:rPr>
        <w:t>(1-k)</w:t>
      </w:r>
      <w:r w:rsidRPr="00184B08">
        <w:rPr>
          <w:lang w:val="en-GB"/>
        </w:rPr>
        <w:t xml:space="preserve"> </w:t>
      </w:r>
      <w:r w:rsidRPr="00184B08">
        <w:rPr>
          <w:rFonts w:ascii="Arial" w:hAnsi="Arial"/>
          <w:lang w:val="en-GB"/>
        </w:rPr>
        <w:t>x</w:t>
      </w:r>
      <w:r w:rsidR="00AB517D" w:rsidRPr="00184B08">
        <w:rPr>
          <w:lang w:val="en-GB"/>
        </w:rPr>
        <w:t xml:space="preserve"> total length</w:t>
      </w:r>
    </w:p>
    <w:p w:rsidR="00675F27" w:rsidRDefault="00AB517D" w:rsidP="00726AED">
      <w:pPr>
        <w:rPr>
          <w:lang w:val="en-GB"/>
        </w:rPr>
      </w:pPr>
      <w:r w:rsidRPr="00184B08">
        <w:rPr>
          <w:lang w:val="en-GB"/>
        </w:rPr>
        <w:lastRenderedPageBreak/>
        <w:t xml:space="preserve">where </w:t>
      </w:r>
      <w:r w:rsidRPr="00184B08">
        <w:rPr>
          <w:i/>
          <w:lang w:val="en-GB"/>
        </w:rPr>
        <w:t>x</w:t>
      </w:r>
      <w:r w:rsidRPr="00184B08">
        <w:rPr>
          <w:lang w:val="en-GB"/>
        </w:rPr>
        <w:t xml:space="preserve"> and </w:t>
      </w:r>
      <w:r w:rsidRPr="00184B08">
        <w:rPr>
          <w:i/>
          <w:lang w:val="en-GB"/>
        </w:rPr>
        <w:t>y</w:t>
      </w:r>
      <w:r w:rsidRPr="00184B08">
        <w:rPr>
          <w:lang w:val="en-GB"/>
        </w:rPr>
        <w:t xml:space="preserve"> are the two parts of the total segment.</w:t>
      </w:r>
      <w:r w:rsidR="00184B08" w:rsidRPr="00184B08">
        <w:rPr>
          <w:lang w:val="en-GB"/>
        </w:rPr>
        <w:t xml:space="preserve"> I had</w:t>
      </w:r>
      <w:r w:rsidR="00184B08">
        <w:rPr>
          <w:lang w:val="en-GB"/>
        </w:rPr>
        <w:t xml:space="preserve"> been hoping for an expression of direct proportionality such as </w:t>
      </w:r>
      <w:r w:rsidR="00184B08" w:rsidRPr="00184B08">
        <w:rPr>
          <w:i/>
          <w:lang w:val="en-GB"/>
        </w:rPr>
        <w:t xml:space="preserve">x = </w:t>
      </w:r>
      <w:proofErr w:type="spellStart"/>
      <w:r w:rsidR="00184B08" w:rsidRPr="00184B08">
        <w:rPr>
          <w:i/>
          <w:lang w:val="en-GB"/>
        </w:rPr>
        <w:t>k</w:t>
      </w:r>
      <w:r w:rsidR="00184B08">
        <w:rPr>
          <w:i/>
          <w:lang w:val="en-GB"/>
        </w:rPr>
        <w:t>y</w:t>
      </w:r>
      <w:proofErr w:type="spellEnd"/>
      <w:r w:rsidR="00184B08">
        <w:rPr>
          <w:i/>
          <w:lang w:val="en-GB"/>
        </w:rPr>
        <w:t>.</w:t>
      </w:r>
    </w:p>
    <w:p w:rsidR="00675F27" w:rsidRDefault="00AB517D" w:rsidP="00726AED">
      <w:pPr>
        <w:rPr>
          <w:lang w:val="en-GB"/>
        </w:rPr>
      </w:pPr>
      <w:r>
        <w:rPr>
          <w:lang w:val="en-GB"/>
        </w:rPr>
        <w:t>I commented that this group had ‘gone into algebra’ straight away, but I was not sure that everyone was able to ‘see’ the relationships they were describing.</w:t>
      </w:r>
      <w:r w:rsidR="00B5651E">
        <w:rPr>
          <w:lang w:val="en-GB"/>
        </w:rPr>
        <w:t xml:space="preserve"> </w:t>
      </w:r>
      <w:r>
        <w:rPr>
          <w:lang w:val="en-GB"/>
        </w:rPr>
        <w:t>What question could they ask learners to help them shift from seeing the lines additively to seeing multiplicatively?</w:t>
      </w:r>
    </w:p>
    <w:p w:rsidR="00675F27" w:rsidRDefault="00AB517D" w:rsidP="00726AED">
      <w:pPr>
        <w:rPr>
          <w:lang w:val="en-GB"/>
        </w:rPr>
      </w:pPr>
      <w:r>
        <w:rPr>
          <w:lang w:val="en-GB"/>
        </w:rPr>
        <w:t xml:space="preserve">The </w:t>
      </w:r>
      <w:r w:rsidR="00C71694">
        <w:rPr>
          <w:lang w:val="en-GB"/>
        </w:rPr>
        <w:t>prospective teachers</w:t>
      </w:r>
      <w:r>
        <w:rPr>
          <w:lang w:val="en-GB"/>
        </w:rPr>
        <w:t xml:space="preserve"> suggested:</w:t>
      </w:r>
    </w:p>
    <w:p w:rsidR="00AB517D" w:rsidRDefault="00AB517D" w:rsidP="00E96520">
      <w:pPr>
        <w:pStyle w:val="BlockQuote"/>
        <w:rPr>
          <w:lang w:val="en-GB"/>
        </w:rPr>
      </w:pPr>
      <w:r>
        <w:rPr>
          <w:lang w:val="en-GB"/>
        </w:rPr>
        <w:t>How much of …?</w:t>
      </w:r>
    </w:p>
    <w:p w:rsidR="00AB517D" w:rsidRDefault="00AB517D" w:rsidP="00E96520">
      <w:pPr>
        <w:pStyle w:val="BlockQuote"/>
        <w:rPr>
          <w:lang w:val="en-GB"/>
        </w:rPr>
      </w:pPr>
      <w:r>
        <w:rPr>
          <w:lang w:val="en-GB"/>
        </w:rPr>
        <w:t>What fraction of …?</w:t>
      </w:r>
    </w:p>
    <w:p w:rsidR="00AB517D" w:rsidRDefault="00AB517D" w:rsidP="00E96520">
      <w:pPr>
        <w:pStyle w:val="BlockQuote"/>
        <w:rPr>
          <w:lang w:val="en-GB"/>
        </w:rPr>
      </w:pPr>
      <w:r>
        <w:rPr>
          <w:lang w:val="en-GB"/>
        </w:rPr>
        <w:t>How many times does this bit go into that bit?</w:t>
      </w:r>
    </w:p>
    <w:p w:rsidR="00AB517D" w:rsidRDefault="00AB517D" w:rsidP="00E96520">
      <w:pPr>
        <w:pStyle w:val="BlockQuote"/>
        <w:rPr>
          <w:lang w:val="en-GB"/>
        </w:rPr>
      </w:pPr>
      <w:r>
        <w:rPr>
          <w:lang w:val="en-GB"/>
        </w:rPr>
        <w:t>What proportion of…?</w:t>
      </w:r>
    </w:p>
    <w:p w:rsidR="00AB517D" w:rsidRDefault="00AB517D" w:rsidP="00E96520">
      <w:pPr>
        <w:pStyle w:val="BlockQuote"/>
        <w:rPr>
          <w:lang w:val="en-GB"/>
        </w:rPr>
      </w:pPr>
      <w:r>
        <w:rPr>
          <w:lang w:val="en-GB"/>
        </w:rPr>
        <w:t>What is the ratio of x to y?</w:t>
      </w:r>
    </w:p>
    <w:p w:rsidR="00675F27" w:rsidRDefault="00AB517D" w:rsidP="00E96520">
      <w:pPr>
        <w:pStyle w:val="BlockQuote"/>
        <w:rPr>
          <w:lang w:val="en-GB"/>
        </w:rPr>
      </w:pPr>
      <w:r>
        <w:rPr>
          <w:lang w:val="en-GB"/>
        </w:rPr>
        <w:t>Tell me the length of this bit in terms of this bit?</w:t>
      </w:r>
    </w:p>
    <w:p w:rsidR="00675F27" w:rsidRDefault="00AB517D" w:rsidP="00726AED">
      <w:pPr>
        <w:rPr>
          <w:lang w:val="en-GB"/>
        </w:rPr>
      </w:pPr>
      <w:r>
        <w:rPr>
          <w:lang w:val="en-GB"/>
        </w:rPr>
        <w:t xml:space="preserve">At this point it became clear that one </w:t>
      </w:r>
      <w:r w:rsidR="00C71694">
        <w:rPr>
          <w:lang w:val="en-GB"/>
        </w:rPr>
        <w:t>of our students</w:t>
      </w:r>
      <w:r>
        <w:rPr>
          <w:lang w:val="en-GB"/>
        </w:rPr>
        <w:t xml:space="preserve"> had not noticed </w:t>
      </w:r>
      <w:r w:rsidRPr="00184B08">
        <w:rPr>
          <w:i/>
          <w:lang w:val="en-GB"/>
        </w:rPr>
        <w:t>how</w:t>
      </w:r>
      <w:r>
        <w:rPr>
          <w:lang w:val="en-GB"/>
        </w:rPr>
        <w:t xml:space="preserve"> the point positioned on the line had moved, so I </w:t>
      </w:r>
      <w:r w:rsidR="00B33294">
        <w:rPr>
          <w:lang w:val="en-GB"/>
        </w:rPr>
        <w:t>repeated the animation, asking ‘</w:t>
      </w:r>
      <w:r>
        <w:rPr>
          <w:lang w:val="en-GB"/>
        </w:rPr>
        <w:t>what stays fixed and what changes in each diagram?’</w:t>
      </w:r>
    </w:p>
    <w:p w:rsidR="00675F27" w:rsidRDefault="00AB517D" w:rsidP="00726AED">
      <w:pPr>
        <w:rPr>
          <w:lang w:val="en-GB"/>
        </w:rPr>
      </w:pPr>
      <w:r>
        <w:rPr>
          <w:lang w:val="en-GB"/>
        </w:rPr>
        <w:t xml:space="preserve">I finished by exemplifying with 7 = ? </w:t>
      </w:r>
      <w:r w:rsidRPr="00973690">
        <w:rPr>
          <w:rFonts w:ascii="Arial" w:hAnsi="Arial"/>
          <w:lang w:val="en-GB"/>
        </w:rPr>
        <w:t>x</w:t>
      </w:r>
      <w:r>
        <w:rPr>
          <w:lang w:val="en-GB"/>
        </w:rPr>
        <w:t xml:space="preserve"> 3, asking for three different expressions:</w:t>
      </w:r>
    </w:p>
    <w:p w:rsidR="00AB517D" w:rsidRDefault="00AB517D" w:rsidP="00E96520">
      <w:pPr>
        <w:pStyle w:val="Equation"/>
        <w:rPr>
          <w:lang w:val="en-GB"/>
        </w:rPr>
      </w:pPr>
      <w:r>
        <w:rPr>
          <w:lang w:val="en-GB"/>
        </w:rPr>
        <w:t>7 =</w:t>
      </w:r>
      <w:r w:rsidRPr="00184B08">
        <w:rPr>
          <w:i/>
          <w:lang w:val="en-GB"/>
        </w:rPr>
        <w:t xml:space="preserve"> k</w:t>
      </w:r>
      <w:r>
        <w:rPr>
          <w:lang w:val="en-GB"/>
        </w:rPr>
        <w:t xml:space="preserve"> </w:t>
      </w:r>
      <w:r w:rsidRPr="00973690">
        <w:rPr>
          <w:rFonts w:ascii="Arial" w:hAnsi="Arial"/>
          <w:lang w:val="en-GB"/>
        </w:rPr>
        <w:t>x</w:t>
      </w:r>
      <w:r>
        <w:rPr>
          <w:lang w:val="en-GB"/>
        </w:rPr>
        <w:t xml:space="preserve"> 3</w:t>
      </w:r>
    </w:p>
    <w:p w:rsidR="00184B08" w:rsidRDefault="00D5067C" w:rsidP="00E96520">
      <w:pPr>
        <w:pStyle w:val="Equation"/>
        <w:rPr>
          <w:lang w:val="en-GB"/>
        </w:rPr>
      </w:pPr>
      <w:r w:rsidRPr="00184B08">
        <w:rPr>
          <w:position w:val="-24"/>
          <w:lang w:val="en-GB"/>
        </w:rPr>
        <w:object w:dxaOrig="240" w:dyaOrig="620">
          <v:shape id="_x0000_i1026" type="#_x0000_t75" style="width:12pt;height:31.2pt" o:ole="">
            <v:imagedata r:id="rId8" o:title=""/>
          </v:shape>
          <o:OLEObject Type="Embed" ProgID="Equation.3" ShapeID="_x0000_i1026" DrawAspect="Content" ObjectID="_1507730889" r:id="rId9"/>
        </w:object>
      </w:r>
      <w:r w:rsidR="00184B08">
        <w:rPr>
          <w:lang w:val="en-GB"/>
        </w:rPr>
        <w:t>= 3</w:t>
      </w:r>
    </w:p>
    <w:p w:rsidR="00675F27" w:rsidRDefault="00D5067C" w:rsidP="00E96520">
      <w:pPr>
        <w:pStyle w:val="Equation"/>
        <w:rPr>
          <w:lang w:val="en-GB"/>
        </w:rPr>
      </w:pPr>
      <w:r w:rsidRPr="00D5067C">
        <w:rPr>
          <w:position w:val="-24"/>
          <w:lang w:val="en-GB"/>
        </w:rPr>
        <w:object w:dxaOrig="240" w:dyaOrig="620">
          <v:shape id="_x0000_i1027" type="#_x0000_t75" style="width:12pt;height:31.2pt" o:ole="">
            <v:imagedata r:id="rId10" o:title=""/>
          </v:shape>
          <o:OLEObject Type="Embed" ProgID="Equation.3" ShapeID="_x0000_i1027" DrawAspect="Content" ObjectID="_1507730890" r:id="rId11"/>
        </w:object>
      </w:r>
      <w:r>
        <w:rPr>
          <w:lang w:val="en-GB"/>
        </w:rPr>
        <w:t xml:space="preserve">= </w:t>
      </w:r>
      <w:r w:rsidRPr="00D5067C">
        <w:rPr>
          <w:i/>
          <w:lang w:val="en-GB"/>
        </w:rPr>
        <w:t>k</w:t>
      </w:r>
    </w:p>
    <w:p w:rsidR="00675F27" w:rsidRDefault="00AB517D" w:rsidP="00726AED">
      <w:pPr>
        <w:rPr>
          <w:lang w:val="en-GB"/>
        </w:rPr>
      </w:pPr>
      <w:r>
        <w:rPr>
          <w:lang w:val="en-GB"/>
        </w:rPr>
        <w:t>I repeated the earlier comment about having a ‘package’ of three ways to express one relationship.</w:t>
      </w:r>
    </w:p>
    <w:p w:rsidR="00675F27" w:rsidRDefault="00AB517D" w:rsidP="00726AED">
      <w:pPr>
        <w:rPr>
          <w:lang w:val="en-GB"/>
        </w:rPr>
      </w:pPr>
      <w:r>
        <w:rPr>
          <w:lang w:val="en-GB"/>
        </w:rPr>
        <w:t>Superficially, the session was about how diagrams can be used as images for algebraic relationships, and how focusing on invariance and change in dynamic representations can trigger new ways of seeing.</w:t>
      </w:r>
      <w:r w:rsidR="00B5651E">
        <w:rPr>
          <w:lang w:val="en-GB"/>
        </w:rPr>
        <w:t xml:space="preserve"> </w:t>
      </w:r>
      <w:r>
        <w:rPr>
          <w:lang w:val="en-GB"/>
        </w:rPr>
        <w:t>The line segment image is particularly powerful because, seen as a statement about lengths, it carries semantic meaning about addition and multiplication, and it also acts syntactically, in that the three ways of transforming the key algebraic relationships can each be constructed from the diagram itself, rather than only from manipulating the formal expression.</w:t>
      </w:r>
    </w:p>
    <w:p w:rsidR="00AB517D" w:rsidRDefault="00AB517D" w:rsidP="00726AED">
      <w:pPr>
        <w:rPr>
          <w:lang w:val="en-GB"/>
        </w:rPr>
      </w:pPr>
      <w:r>
        <w:rPr>
          <w:lang w:val="en-GB"/>
        </w:rPr>
        <w:lastRenderedPageBreak/>
        <w:t>However, this session contained far more about mathematical awareness than ‘ju</w:t>
      </w:r>
      <w:r w:rsidR="00C71694">
        <w:rPr>
          <w:lang w:val="en-GB"/>
        </w:rPr>
        <w:t>st’ this. For example, someone</w:t>
      </w:r>
      <w:r>
        <w:rPr>
          <w:lang w:val="en-GB"/>
        </w:rPr>
        <w:t xml:space="preserve"> referred to earlier work about how giving diagrams in particular orientations could be misleading for learners. I also hoped to initiate new awareness which would be revisited later on, and these were: </w:t>
      </w:r>
    </w:p>
    <w:p w:rsidR="00AB517D" w:rsidRDefault="00AB517D" w:rsidP="00E96520">
      <w:pPr>
        <w:pStyle w:val="LISTbullet"/>
        <w:rPr>
          <w:lang w:val="en-GB"/>
        </w:rPr>
      </w:pPr>
      <w:r>
        <w:rPr>
          <w:lang w:val="en-GB"/>
        </w:rPr>
        <w:t>th</w:t>
      </w:r>
      <w:r w:rsidR="00182542">
        <w:rPr>
          <w:lang w:val="en-GB"/>
        </w:rPr>
        <w:t>at</w:t>
      </w:r>
      <w:r>
        <w:rPr>
          <w:lang w:val="en-GB"/>
        </w:rPr>
        <w:t xml:space="preserve"> </w:t>
      </w:r>
      <w:r w:rsidR="00182542">
        <w:rPr>
          <w:lang w:val="en-GB"/>
        </w:rPr>
        <w:t xml:space="preserve">learners have </w:t>
      </w:r>
      <w:r>
        <w:rPr>
          <w:lang w:val="en-GB"/>
        </w:rPr>
        <w:t xml:space="preserve">difficulty in shifting from additive to multiplicative understandings of change – and in that respect this session was precursor to considerations of ratio later. </w:t>
      </w:r>
    </w:p>
    <w:p w:rsidR="00AB517D" w:rsidRDefault="00182542" w:rsidP="00E96520">
      <w:pPr>
        <w:pStyle w:val="LISTbullet"/>
        <w:rPr>
          <w:lang w:val="en-GB"/>
        </w:rPr>
      </w:pPr>
      <w:r>
        <w:rPr>
          <w:lang w:val="en-GB"/>
        </w:rPr>
        <w:t xml:space="preserve">that there are </w:t>
      </w:r>
      <w:r w:rsidR="00AB517D">
        <w:rPr>
          <w:lang w:val="en-GB"/>
        </w:rPr>
        <w:t xml:space="preserve">alternative ways to express relationships – and this signalled an approach to algebra as expressing generality, and transforming equations as constructing equivalent expressions </w:t>
      </w:r>
    </w:p>
    <w:p w:rsidR="00AB517D" w:rsidRDefault="00AB517D" w:rsidP="00E96520">
      <w:pPr>
        <w:pStyle w:val="LISTbullet"/>
        <w:rPr>
          <w:lang w:val="en-GB"/>
        </w:rPr>
      </w:pPr>
      <w:r>
        <w:rPr>
          <w:lang w:val="en-GB"/>
        </w:rPr>
        <w:t>th</w:t>
      </w:r>
      <w:r w:rsidR="00182542">
        <w:rPr>
          <w:lang w:val="en-GB"/>
        </w:rPr>
        <w:t>at</w:t>
      </w:r>
      <w:r>
        <w:rPr>
          <w:lang w:val="en-GB"/>
        </w:rPr>
        <w:t xml:space="preserve"> </w:t>
      </w:r>
      <w:r w:rsidR="00182542">
        <w:rPr>
          <w:lang w:val="en-GB"/>
        </w:rPr>
        <w:t>letters have various</w:t>
      </w:r>
      <w:r>
        <w:rPr>
          <w:lang w:val="en-GB"/>
        </w:rPr>
        <w:t xml:space="preserve"> roles </w:t>
      </w:r>
    </w:p>
    <w:p w:rsidR="00675F27" w:rsidRDefault="00182542" w:rsidP="00E96520">
      <w:pPr>
        <w:pStyle w:val="LISTbullet"/>
        <w:rPr>
          <w:lang w:val="en-GB"/>
        </w:rPr>
      </w:pPr>
      <w:r>
        <w:rPr>
          <w:lang w:val="en-GB"/>
        </w:rPr>
        <w:t xml:space="preserve">that </w:t>
      </w:r>
      <w:r w:rsidR="00AB517D">
        <w:rPr>
          <w:lang w:val="en-GB"/>
        </w:rPr>
        <w:t>shifts from thinking about variables to thinking about relationships</w:t>
      </w:r>
      <w:r>
        <w:rPr>
          <w:lang w:val="en-GB"/>
        </w:rPr>
        <w:t xml:space="preserve"> are important</w:t>
      </w:r>
      <w:r w:rsidR="00E96520">
        <w:rPr>
          <w:lang w:val="en-GB"/>
        </w:rPr>
        <w:t>.</w:t>
      </w:r>
    </w:p>
    <w:p w:rsidR="00675F27" w:rsidRDefault="00AB517D" w:rsidP="00726AED">
      <w:pPr>
        <w:rPr>
          <w:lang w:val="en-GB"/>
        </w:rPr>
      </w:pPr>
      <w:r>
        <w:rPr>
          <w:lang w:val="en-GB"/>
        </w:rPr>
        <w:t>Also there had been opportunities during the session for those who were not sure about the mathematics themselves to work alone or with others, either on the direct mathematical tasks or the related pedagogical issues.</w:t>
      </w:r>
    </w:p>
    <w:p w:rsidR="00675F27" w:rsidRDefault="00AB517D" w:rsidP="00F23C07">
      <w:pPr>
        <w:pStyle w:val="Heading1"/>
        <w:numPr>
          <w:ilvl w:val="0"/>
          <w:numId w:val="0"/>
        </w:numPr>
        <w:rPr>
          <w:lang w:val="en-GB"/>
        </w:rPr>
      </w:pPr>
      <w:r w:rsidRPr="003B71ED">
        <w:rPr>
          <w:lang w:val="en-GB"/>
        </w:rPr>
        <w:t>Working with mental calculations to explore links between algebra and arithmetic</w:t>
      </w:r>
    </w:p>
    <w:p w:rsidR="00675F27" w:rsidRDefault="00AB517D" w:rsidP="00726AED">
      <w:pPr>
        <w:rPr>
          <w:lang w:val="en-GB"/>
        </w:rPr>
      </w:pPr>
      <w:r>
        <w:rPr>
          <w:lang w:val="en-GB"/>
        </w:rPr>
        <w:t>The following calculations appear on the screen one at a time</w:t>
      </w:r>
      <w:r w:rsidR="0057134D">
        <w:rPr>
          <w:lang w:val="en-GB"/>
        </w:rPr>
        <w:t xml:space="preserve"> without comment</w:t>
      </w:r>
      <w:r>
        <w:rPr>
          <w:lang w:val="en-GB"/>
        </w:rPr>
        <w:t xml:space="preserve">, with time for </w:t>
      </w:r>
      <w:r w:rsidR="00C71694">
        <w:rPr>
          <w:lang w:val="en-GB"/>
        </w:rPr>
        <w:t xml:space="preserve">our </w:t>
      </w:r>
      <w:r>
        <w:rPr>
          <w:lang w:val="en-GB"/>
        </w:rPr>
        <w:t>students to consider each before the next appears.</w:t>
      </w:r>
    </w:p>
    <w:p w:rsidR="00B33294" w:rsidRDefault="00B33294" w:rsidP="00726AED">
      <w:pPr>
        <w:rPr>
          <w:lang w:val="en-GB"/>
        </w:rPr>
      </w:pPr>
      <w:r w:rsidRPr="00B33294">
        <w:rPr>
          <w:noProof/>
          <w:lang w:val="en-GB" w:eastAsia="zh-TW"/>
        </w:rPr>
        <w:pict>
          <v:shape id="_x0000_s1113" type="#_x0000_t202" style="position:absolute;left:0;text-align:left;margin-left:-3.15pt;margin-top:8.05pt;width:345.45pt;height:86.25pt;z-index:251657728;mso-width-relative:margin;mso-height-relative:margin">
            <v:textbox>
              <w:txbxContent>
                <w:p w:rsidR="00B33294" w:rsidRDefault="00B33294" w:rsidP="00B33294">
                  <w:pPr>
                    <w:pStyle w:val="Equation"/>
                  </w:pPr>
                  <w:r w:rsidRPr="009C2F20">
                    <w:rPr>
                      <w:position w:val="-6"/>
                    </w:rPr>
                    <w:object w:dxaOrig="520" w:dyaOrig="279">
                      <v:shape id="_x0000_i1037" type="#_x0000_t75" style="width:25.8pt;height:13.8pt" o:ole="">
                        <v:imagedata r:id="rId12" o:title=""/>
                      </v:shape>
                      <o:OLEObject Type="Embed" ProgID="Equation.3" ShapeID="_x0000_i1037" DrawAspect="Content" ObjectID="_1507730900" r:id="rId13"/>
                    </w:object>
                  </w:r>
                  <w:r>
                    <w:t xml:space="preserve">              </w:t>
                  </w:r>
                  <w:r w:rsidRPr="009C2F20">
                    <w:rPr>
                      <w:position w:val="-6"/>
                    </w:rPr>
                    <w:object w:dxaOrig="600" w:dyaOrig="279">
                      <v:shape id="_x0000_i1038" type="#_x0000_t75" style="width:30pt;height:13.8pt" o:ole="">
                        <v:imagedata r:id="rId14" o:title=""/>
                      </v:shape>
                      <o:OLEObject Type="Embed" ProgID="Equation.3" ShapeID="_x0000_i1038" DrawAspect="Content" ObjectID="_1507730901" r:id="rId15"/>
                    </w:object>
                  </w:r>
                  <w:r>
                    <w:t xml:space="preserve">                    </w:t>
                  </w:r>
                  <w:r w:rsidRPr="009C2F20">
                    <w:rPr>
                      <w:position w:val="-6"/>
                    </w:rPr>
                    <w:object w:dxaOrig="740" w:dyaOrig="279">
                      <v:shape id="_x0000_i1039" type="#_x0000_t75" style="width:37.2pt;height:13.8pt" o:ole="">
                        <v:imagedata r:id="rId16" o:title=""/>
                      </v:shape>
                      <o:OLEObject Type="Embed" ProgID="Equation.3" ShapeID="_x0000_i1039" DrawAspect="Content" ObjectID="_1507730902" r:id="rId17"/>
                    </w:object>
                  </w:r>
                  <w:r>
                    <w:t xml:space="preserve">                      </w:t>
                  </w:r>
                  <w:r w:rsidRPr="009C2F20">
                    <w:rPr>
                      <w:position w:val="-6"/>
                    </w:rPr>
                    <w:object w:dxaOrig="980" w:dyaOrig="279">
                      <v:shape id="_x0000_i1040" type="#_x0000_t75" style="width:49.2pt;height:13.8pt" o:ole="">
                        <v:imagedata r:id="rId18" o:title=""/>
                      </v:shape>
                      <o:OLEObject Type="Embed" ProgID="Equation.3" ShapeID="_x0000_i1040" DrawAspect="Content" ObjectID="_1507730903" r:id="rId19"/>
                    </w:object>
                  </w:r>
                </w:p>
                <w:p w:rsidR="00B33294" w:rsidRDefault="00B33294" w:rsidP="00B33294">
                  <w:pPr>
                    <w:pStyle w:val="Equation"/>
                  </w:pPr>
                  <w:r w:rsidRPr="009C2F20">
                    <w:rPr>
                      <w:position w:val="-24"/>
                    </w:rPr>
                    <w:object w:dxaOrig="1620" w:dyaOrig="620">
                      <v:shape id="_x0000_i1041" type="#_x0000_t75" style="width:81pt;height:31.2pt" o:ole="">
                        <v:imagedata r:id="rId20" o:title=""/>
                      </v:shape>
                      <o:OLEObject Type="Embed" ProgID="Equation.3" ShapeID="_x0000_i1041" DrawAspect="Content" ObjectID="_1507730904" r:id="rId21"/>
                    </w:object>
                  </w:r>
                  <w:r>
                    <w:t xml:space="preserve">                    </w:t>
                  </w:r>
                  <w:r w:rsidRPr="009C2F20">
                    <w:rPr>
                      <w:position w:val="-6"/>
                    </w:rPr>
                    <w:object w:dxaOrig="680" w:dyaOrig="279">
                      <v:shape id="_x0000_i1042" type="#_x0000_t75" style="width:34.2pt;height:13.8pt" o:ole="">
                        <v:imagedata r:id="rId22" o:title=""/>
                      </v:shape>
                      <o:OLEObject Type="Embed" ProgID="Equation.3" ShapeID="_x0000_i1042" DrawAspect="Content" ObjectID="_1507730905" r:id="rId23"/>
                    </w:object>
                  </w:r>
                  <w:r>
                    <w:t xml:space="preserve">              </w:t>
                  </w:r>
                  <w:r w:rsidRPr="009C2F20">
                    <w:rPr>
                      <w:position w:val="-6"/>
                    </w:rPr>
                    <w:object w:dxaOrig="700" w:dyaOrig="279">
                      <v:shape id="_x0000_i1043" type="#_x0000_t75" style="width:34.8pt;height:13.8pt" o:ole="">
                        <v:imagedata r:id="rId24" o:title=""/>
                      </v:shape>
                      <o:OLEObject Type="Embed" ProgID="Equation.3" ShapeID="_x0000_i1043" DrawAspect="Content" ObjectID="_1507730906" r:id="rId25"/>
                    </w:object>
                  </w:r>
                </w:p>
                <w:p w:rsidR="00B33294" w:rsidRDefault="00B33294"/>
              </w:txbxContent>
            </v:textbox>
          </v:shape>
        </w:pict>
      </w:r>
    </w:p>
    <w:p w:rsidR="00B33294" w:rsidRDefault="00B33294" w:rsidP="00726AED">
      <w:pPr>
        <w:rPr>
          <w:lang w:val="en-GB"/>
        </w:rPr>
      </w:pPr>
    </w:p>
    <w:p w:rsidR="00B33294" w:rsidRDefault="00B33294" w:rsidP="00726AED">
      <w:pPr>
        <w:rPr>
          <w:lang w:val="en-GB"/>
        </w:rPr>
      </w:pPr>
    </w:p>
    <w:p w:rsidR="00B33294" w:rsidRDefault="00B33294" w:rsidP="00726AED">
      <w:pPr>
        <w:rPr>
          <w:lang w:val="en-GB"/>
        </w:rPr>
      </w:pPr>
    </w:p>
    <w:p w:rsidR="00B33294" w:rsidRDefault="00B33294" w:rsidP="00726AED">
      <w:pPr>
        <w:rPr>
          <w:lang w:val="en-GB"/>
        </w:rPr>
      </w:pPr>
    </w:p>
    <w:p w:rsidR="00B33294" w:rsidRDefault="00B33294" w:rsidP="00726AED">
      <w:pPr>
        <w:rPr>
          <w:lang w:val="en-GB"/>
        </w:rPr>
      </w:pPr>
    </w:p>
    <w:p w:rsidR="00B33294" w:rsidRDefault="00B33294" w:rsidP="00726AED">
      <w:pPr>
        <w:rPr>
          <w:lang w:val="en-GB"/>
        </w:rPr>
      </w:pPr>
    </w:p>
    <w:p w:rsidR="00B33294" w:rsidRDefault="00B33294" w:rsidP="00726AED">
      <w:pPr>
        <w:rPr>
          <w:lang w:val="en-GB"/>
        </w:rPr>
      </w:pPr>
    </w:p>
    <w:p w:rsidR="00675F27" w:rsidRDefault="00C71694" w:rsidP="00726AED">
      <w:pPr>
        <w:rPr>
          <w:lang w:val="en-GB"/>
        </w:rPr>
      </w:pPr>
      <w:r>
        <w:rPr>
          <w:lang w:val="en-GB"/>
        </w:rPr>
        <w:t>They</w:t>
      </w:r>
      <w:r w:rsidR="00AB517D">
        <w:rPr>
          <w:lang w:val="en-GB"/>
        </w:rPr>
        <w:t xml:space="preserve"> were asked to work on each individually and make notes about what they did.</w:t>
      </w:r>
      <w:r w:rsidR="00B5651E">
        <w:rPr>
          <w:lang w:val="en-GB"/>
        </w:rPr>
        <w:t xml:space="preserve"> </w:t>
      </w:r>
      <w:r w:rsidR="00AB517D">
        <w:rPr>
          <w:lang w:val="en-GB"/>
        </w:rPr>
        <w:t>Next they were asked to compare their methods with their neig</w:t>
      </w:r>
      <w:r>
        <w:rPr>
          <w:lang w:val="en-GB"/>
        </w:rPr>
        <w:t xml:space="preserve">hbours (there were six </w:t>
      </w:r>
      <w:r w:rsidR="00AB517D">
        <w:rPr>
          <w:lang w:val="en-GB"/>
        </w:rPr>
        <w:t>per table) and to consider whether they could draw out any mechanisms or principles.</w:t>
      </w:r>
    </w:p>
    <w:p w:rsidR="00AB517D" w:rsidRDefault="00C71694" w:rsidP="00726AED">
      <w:pPr>
        <w:rPr>
          <w:lang w:val="en-GB"/>
        </w:rPr>
      </w:pPr>
      <w:r>
        <w:rPr>
          <w:lang w:val="en-GB"/>
        </w:rPr>
        <w:t>After a few minutes they</w:t>
      </w:r>
      <w:r w:rsidR="00AB517D">
        <w:rPr>
          <w:lang w:val="en-GB"/>
        </w:rPr>
        <w:t xml:space="preserve"> were asked for comments.</w:t>
      </w:r>
      <w:r w:rsidR="00B5651E">
        <w:rPr>
          <w:lang w:val="en-GB"/>
        </w:rPr>
        <w:t xml:space="preserve"> </w:t>
      </w:r>
      <w:r w:rsidR="00AB517D">
        <w:rPr>
          <w:lang w:val="en-GB"/>
        </w:rPr>
        <w:t xml:space="preserve">The first contribution was about calculating </w:t>
      </w:r>
      <w:r w:rsidR="00AB517D" w:rsidRPr="009C2F20">
        <w:rPr>
          <w:position w:val="-6"/>
        </w:rPr>
        <w:object w:dxaOrig="740" w:dyaOrig="279">
          <v:shape id="_x0000_i1028" type="#_x0000_t75" style="width:37.2pt;height:13.8pt" o:ole="">
            <v:imagedata r:id="rId16" o:title=""/>
          </v:shape>
          <o:OLEObject Type="Embed" ProgID="Equation.3" ShapeID="_x0000_i1028" DrawAspect="Content" ObjectID="_1507730891" r:id="rId26"/>
        </w:object>
      </w:r>
      <w:r w:rsidR="00AB517D">
        <w:t xml:space="preserve"> by ‘multiplying by 100 and </w:t>
      </w:r>
      <w:r>
        <w:t>dividing by 4’.</w:t>
      </w:r>
      <w:r w:rsidR="00B5651E">
        <w:t xml:space="preserve"> </w:t>
      </w:r>
      <w:r>
        <w:t>They</w:t>
      </w:r>
      <w:r w:rsidR="00AB517D">
        <w:rPr>
          <w:lang w:val="en-GB"/>
        </w:rPr>
        <w:t xml:space="preserve"> called this ‘compensation’.</w:t>
      </w:r>
      <w:r w:rsidR="00B5651E">
        <w:rPr>
          <w:lang w:val="en-GB"/>
        </w:rPr>
        <w:t xml:space="preserve"> </w:t>
      </w:r>
      <w:r w:rsidR="00AB517D">
        <w:rPr>
          <w:lang w:val="en-GB"/>
        </w:rPr>
        <w:t>I asked for further examples of compensation strategies and these were offered:</w:t>
      </w:r>
    </w:p>
    <w:p w:rsidR="00AB517D" w:rsidRPr="00360B89" w:rsidRDefault="00AB517D" w:rsidP="00E96520">
      <w:pPr>
        <w:pStyle w:val="BlockQuote"/>
        <w:rPr>
          <w:lang w:val="en-GB"/>
        </w:rPr>
      </w:pPr>
      <w:r>
        <w:rPr>
          <w:lang w:val="en-GB"/>
        </w:rPr>
        <w:lastRenderedPageBreak/>
        <w:t xml:space="preserve">Do </w:t>
      </w:r>
      <w:r w:rsidRPr="009C2F20">
        <w:rPr>
          <w:position w:val="-6"/>
        </w:rPr>
        <w:object w:dxaOrig="980" w:dyaOrig="279">
          <v:shape id="_x0000_i1029" type="#_x0000_t75" style="width:49.2pt;height:13.8pt" o:ole="">
            <v:imagedata r:id="rId18" o:title=""/>
          </v:shape>
          <o:OLEObject Type="Embed" ProgID="Equation.3" ShapeID="_x0000_i1029" DrawAspect="Content" ObjectID="_1507730892" r:id="rId27"/>
        </w:object>
      </w:r>
      <w:r>
        <w:t xml:space="preserve"> by subtracting 200 and adding 25</w:t>
      </w:r>
    </w:p>
    <w:p w:rsidR="00675F27" w:rsidRDefault="00AB517D" w:rsidP="00E96520">
      <w:pPr>
        <w:pStyle w:val="BlockQuote"/>
        <w:rPr>
          <w:lang w:val="en-GB"/>
        </w:rPr>
      </w:pPr>
      <w:r>
        <w:t xml:space="preserve">Do </w:t>
      </w:r>
      <w:r w:rsidRPr="009C2F20">
        <w:rPr>
          <w:position w:val="-6"/>
        </w:rPr>
        <w:object w:dxaOrig="600" w:dyaOrig="279">
          <v:shape id="_x0000_i1030" type="#_x0000_t75" style="width:30pt;height:13.8pt" o:ole="">
            <v:imagedata r:id="rId14" o:title=""/>
          </v:shape>
          <o:OLEObject Type="Embed" ProgID="Equation.3" ShapeID="_x0000_i1030" DrawAspect="Content" ObjectID="_1507730893" r:id="rId28"/>
        </w:object>
      </w:r>
      <w:r>
        <w:t xml:space="preserve"> by multiplying 5 by 20 and then subtracting 5</w:t>
      </w:r>
    </w:p>
    <w:p w:rsidR="00AB517D" w:rsidRDefault="00AB517D" w:rsidP="00E96520">
      <w:pPr>
        <w:pStyle w:val="BlockQuote"/>
        <w:rPr>
          <w:lang w:val="en-GB"/>
        </w:rPr>
      </w:pPr>
      <w:r>
        <w:rPr>
          <w:lang w:val="en-GB"/>
        </w:rPr>
        <w:t xml:space="preserve">Tutor: When is it helpful to use compensation? </w:t>
      </w:r>
    </w:p>
    <w:p w:rsidR="00AB517D" w:rsidRDefault="0057134D" w:rsidP="00E96520">
      <w:pPr>
        <w:pStyle w:val="BlockQuote"/>
        <w:rPr>
          <w:lang w:val="en-GB"/>
        </w:rPr>
      </w:pPr>
      <w:r>
        <w:rPr>
          <w:lang w:val="en-GB"/>
        </w:rPr>
        <w:t>Val</w:t>
      </w:r>
      <w:r w:rsidR="00AB517D">
        <w:rPr>
          <w:lang w:val="en-GB"/>
        </w:rPr>
        <w:t>: To break a complicated sum into something easier you can do in your head</w:t>
      </w:r>
    </w:p>
    <w:p w:rsidR="00675F27" w:rsidRDefault="00AB517D" w:rsidP="00E96520">
      <w:pPr>
        <w:pStyle w:val="BlockQuote"/>
        <w:rPr>
          <w:lang w:val="en-GB"/>
        </w:rPr>
      </w:pPr>
      <w:r>
        <w:rPr>
          <w:lang w:val="en-GB"/>
        </w:rPr>
        <w:t>Tutor: Let’s be fairly specific about this.</w:t>
      </w:r>
      <w:r w:rsidR="00B5651E">
        <w:rPr>
          <w:lang w:val="en-GB"/>
        </w:rPr>
        <w:t xml:space="preserve"> </w:t>
      </w:r>
      <w:r>
        <w:rPr>
          <w:lang w:val="en-GB"/>
        </w:rPr>
        <w:t>How do you recognise what is going to be easier?</w:t>
      </w:r>
    </w:p>
    <w:p w:rsidR="00675F27" w:rsidRDefault="00AB517D" w:rsidP="00B33294">
      <w:pPr>
        <w:rPr>
          <w:lang w:val="en-GB"/>
        </w:rPr>
      </w:pPr>
      <w:r>
        <w:rPr>
          <w:lang w:val="en-GB"/>
        </w:rPr>
        <w:t>A series of responses to this mentioned</w:t>
      </w:r>
      <w:r w:rsidR="00E96520">
        <w:rPr>
          <w:lang w:val="en-GB"/>
        </w:rPr>
        <w:t>:</w:t>
      </w:r>
      <w:r>
        <w:rPr>
          <w:lang w:val="en-GB"/>
        </w:rPr>
        <w:t xml:space="preserve"> multiples of 10 and 100, multiplication by single digits, single digits used as ‘the adjustment’, dealing with decimals by multiplying and dividing by powers of 10, familiarity and ‘roundness’ and ‘splitting things into chunks of some bits that work’.</w:t>
      </w:r>
    </w:p>
    <w:p w:rsidR="00675F27" w:rsidRDefault="00AB517D" w:rsidP="00726AED">
      <w:pPr>
        <w:rPr>
          <w:lang w:val="en-GB"/>
        </w:rPr>
      </w:pPr>
      <w:r>
        <w:rPr>
          <w:lang w:val="en-GB"/>
        </w:rPr>
        <w:t>The discussion continued and touched on the usefulness of powers of ten, the use of ‘known’ facts and converting between percentages, decimals and fractions.</w:t>
      </w:r>
      <w:r w:rsidR="00B5651E">
        <w:rPr>
          <w:lang w:val="en-GB"/>
        </w:rPr>
        <w:t xml:space="preserve"> </w:t>
      </w:r>
      <w:r>
        <w:rPr>
          <w:lang w:val="en-GB"/>
        </w:rPr>
        <w:t>After a few m</w:t>
      </w:r>
      <w:r w:rsidR="00C71694">
        <w:rPr>
          <w:lang w:val="en-GB"/>
        </w:rPr>
        <w:t>ore minutes I asked them</w:t>
      </w:r>
      <w:r>
        <w:rPr>
          <w:lang w:val="en-GB"/>
        </w:rPr>
        <w:t xml:space="preserve"> to take a few moments to consider whether they could link what had been said so far with things they had read or discussed earlier in the course.</w:t>
      </w:r>
    </w:p>
    <w:p w:rsidR="00AB517D" w:rsidRDefault="00AB517D" w:rsidP="00E96520">
      <w:pPr>
        <w:pStyle w:val="BlockQuote"/>
        <w:rPr>
          <w:lang w:val="en-GB"/>
        </w:rPr>
      </w:pPr>
      <w:r>
        <w:rPr>
          <w:lang w:val="en-GB"/>
        </w:rPr>
        <w:t>Tutor: Anyone got anything to say?</w:t>
      </w:r>
    </w:p>
    <w:p w:rsidR="00AB517D" w:rsidRDefault="00AB517D" w:rsidP="00E96520">
      <w:pPr>
        <w:pStyle w:val="BlockQuote"/>
        <w:rPr>
          <w:lang w:val="en-GB"/>
        </w:rPr>
      </w:pPr>
      <w:r>
        <w:rPr>
          <w:lang w:val="en-GB"/>
        </w:rPr>
        <w:t>Will: There is implicit use of the distributive law</w:t>
      </w:r>
    </w:p>
    <w:p w:rsidR="00675F27" w:rsidRDefault="00AB517D" w:rsidP="00E96520">
      <w:pPr>
        <w:pStyle w:val="BlockQuote"/>
      </w:pPr>
      <w:r>
        <w:rPr>
          <w:lang w:val="en-GB"/>
        </w:rPr>
        <w:t xml:space="preserve">Tutor: I thought I might have stopped you from seeing that by choosing </w:t>
      </w:r>
      <w:r w:rsidRPr="009C2F20">
        <w:rPr>
          <w:position w:val="-6"/>
        </w:rPr>
        <w:object w:dxaOrig="740" w:dyaOrig="279">
          <v:shape id="_x0000_i1031" type="#_x0000_t75" style="width:37.2pt;height:13.8pt" o:ole="">
            <v:imagedata r:id="rId16" o:title=""/>
          </v:shape>
          <o:OLEObject Type="Embed" ProgID="Equation.3" ShapeID="_x0000_i1031" DrawAspect="Content" ObjectID="_1507730894" r:id="rId29"/>
        </w:object>
      </w:r>
    </w:p>
    <w:p w:rsidR="00AB517D" w:rsidRDefault="00AB517D" w:rsidP="00E96520">
      <w:pPr>
        <w:pStyle w:val="BlockQuote"/>
      </w:pPr>
      <w:r>
        <w:t>Will wrote on the board</w:t>
      </w:r>
    </w:p>
    <w:p w:rsidR="00675F27" w:rsidRDefault="00AB517D" w:rsidP="00AE2162">
      <w:pPr>
        <w:pStyle w:val="Equation"/>
        <w:rPr>
          <w:lang w:val="en-GB"/>
        </w:rPr>
      </w:pPr>
      <w:r w:rsidRPr="008A1B1D">
        <w:rPr>
          <w:position w:val="-62"/>
          <w:lang w:val="en-GB"/>
        </w:rPr>
        <w:object w:dxaOrig="2540" w:dyaOrig="1359">
          <v:shape id="_x0000_i1032" type="#_x0000_t75" style="width:127.2pt;height:67.8pt" o:ole="">
            <v:imagedata r:id="rId30" o:title=""/>
          </v:shape>
          <o:OLEObject Type="Embed" ProgID="Equation.3" ShapeID="_x0000_i1032" DrawAspect="Content" ObjectID="_1507730895" r:id="rId31"/>
        </w:object>
      </w:r>
    </w:p>
    <w:p w:rsidR="00AB517D" w:rsidRDefault="00AB517D" w:rsidP="00AE2162">
      <w:pPr>
        <w:pStyle w:val="BlockQuote"/>
        <w:rPr>
          <w:lang w:val="en-GB"/>
        </w:rPr>
      </w:pPr>
      <w:r>
        <w:rPr>
          <w:lang w:val="en-GB"/>
        </w:rPr>
        <w:t xml:space="preserve">Andrew: When you </w:t>
      </w:r>
      <w:r>
        <w:rPr>
          <w:u w:val="single"/>
          <w:lang w:val="en-GB"/>
        </w:rPr>
        <w:t>thought</w:t>
      </w:r>
      <w:r>
        <w:rPr>
          <w:lang w:val="en-GB"/>
        </w:rPr>
        <w:t xml:space="preserve"> it, did you think ‘bracket ten plus ten plus five’?</w:t>
      </w:r>
    </w:p>
    <w:p w:rsidR="00AB517D" w:rsidRDefault="00AB517D" w:rsidP="00AE2162">
      <w:pPr>
        <w:pStyle w:val="BlockQuote"/>
        <w:rPr>
          <w:lang w:val="en-GB"/>
        </w:rPr>
      </w:pPr>
      <w:r>
        <w:rPr>
          <w:lang w:val="en-GB"/>
        </w:rPr>
        <w:t>Will: I didn’t think ‘bracket’</w:t>
      </w:r>
    </w:p>
    <w:p w:rsidR="00675F27" w:rsidRDefault="00AB517D" w:rsidP="00AE2162">
      <w:pPr>
        <w:pStyle w:val="BlockQuote"/>
        <w:rPr>
          <w:lang w:val="en-GB"/>
        </w:rPr>
      </w:pPr>
      <w:r>
        <w:rPr>
          <w:lang w:val="en-GB"/>
        </w:rPr>
        <w:t>Tutor:</w:t>
      </w:r>
      <w:r w:rsidR="00B5651E">
        <w:rPr>
          <w:lang w:val="en-GB"/>
        </w:rPr>
        <w:t xml:space="preserve"> </w:t>
      </w:r>
      <w:r>
        <w:rPr>
          <w:lang w:val="en-GB"/>
        </w:rPr>
        <w:t>Did anyone see that idea in any of the others?</w:t>
      </w:r>
    </w:p>
    <w:p w:rsidR="00AB517D" w:rsidRDefault="00AB517D" w:rsidP="00AE2162">
      <w:pPr>
        <w:pStyle w:val="BlockQuote"/>
        <w:rPr>
          <w:lang w:val="en-GB"/>
        </w:rPr>
      </w:pPr>
      <w:proofErr w:type="spellStart"/>
      <w:r>
        <w:rPr>
          <w:lang w:val="en-GB"/>
        </w:rPr>
        <w:t>Madena</w:t>
      </w:r>
      <w:proofErr w:type="spellEnd"/>
      <w:r>
        <w:rPr>
          <w:lang w:val="en-GB"/>
        </w:rPr>
        <w:t xml:space="preserve"> wrote</w:t>
      </w:r>
      <w:r w:rsidR="00A23A00">
        <w:rPr>
          <w:lang w:val="en-GB"/>
        </w:rPr>
        <w:t xml:space="preserve"> on the board</w:t>
      </w:r>
      <w:r>
        <w:rPr>
          <w:lang w:val="en-GB"/>
        </w:rPr>
        <w:t>:</w:t>
      </w:r>
    </w:p>
    <w:p w:rsidR="00AB517D" w:rsidRDefault="00AB517D" w:rsidP="00AE2162">
      <w:pPr>
        <w:pStyle w:val="Equation"/>
        <w:rPr>
          <w:lang w:val="en-GB"/>
        </w:rPr>
      </w:pPr>
      <w:r w:rsidRPr="00D968F9">
        <w:rPr>
          <w:position w:val="-62"/>
          <w:lang w:val="en-GB"/>
        </w:rPr>
        <w:object w:dxaOrig="1440" w:dyaOrig="1359">
          <v:shape id="_x0000_i1033" type="#_x0000_t75" style="width:1in;height:67.8pt" o:ole="">
            <v:imagedata r:id="rId32" o:title=""/>
          </v:shape>
          <o:OLEObject Type="Embed" ProgID="Equation.3" ShapeID="_x0000_i1033" DrawAspect="Content" ObjectID="_1507730896" r:id="rId33"/>
        </w:object>
      </w:r>
    </w:p>
    <w:p w:rsidR="00AB517D" w:rsidRDefault="00AB517D" w:rsidP="00726AED">
      <w:pPr>
        <w:rPr>
          <w:lang w:val="en-GB"/>
        </w:rPr>
      </w:pPr>
      <w:r>
        <w:rPr>
          <w:lang w:val="en-GB"/>
        </w:rPr>
        <w:t>Tutor:</w:t>
      </w:r>
      <w:r w:rsidR="00B5651E">
        <w:rPr>
          <w:lang w:val="en-GB"/>
        </w:rPr>
        <w:t xml:space="preserve"> </w:t>
      </w:r>
      <w:r>
        <w:rPr>
          <w:lang w:val="en-GB"/>
        </w:rPr>
        <w:t>What if we had used Andrew’s approach of 10 + 9 is 19?</w:t>
      </w:r>
    </w:p>
    <w:p w:rsidR="00AB517D" w:rsidRDefault="00C71694" w:rsidP="00726AED">
      <w:pPr>
        <w:rPr>
          <w:lang w:val="en-GB"/>
        </w:rPr>
      </w:pPr>
      <w:r>
        <w:rPr>
          <w:lang w:val="en-GB"/>
        </w:rPr>
        <w:t>They</w:t>
      </w:r>
      <w:r w:rsidR="00AB517D">
        <w:rPr>
          <w:lang w:val="en-GB"/>
        </w:rPr>
        <w:t xml:space="preserve"> nodded.</w:t>
      </w:r>
      <w:r w:rsidR="00AE2162">
        <w:rPr>
          <w:lang w:val="en-GB"/>
        </w:rPr>
        <w:t xml:space="preserve"> </w:t>
      </w:r>
      <w:r w:rsidR="00A23A00" w:rsidRPr="00A23A00">
        <w:rPr>
          <w:lang w:val="en-GB"/>
        </w:rPr>
        <w:t>Tansy</w:t>
      </w:r>
      <w:r w:rsidR="00AB517D">
        <w:rPr>
          <w:lang w:val="en-GB"/>
        </w:rPr>
        <w:t xml:space="preserve"> wrote:</w:t>
      </w:r>
    </w:p>
    <w:p w:rsidR="00AB517D" w:rsidRDefault="00AB517D" w:rsidP="00AE2162">
      <w:pPr>
        <w:pStyle w:val="Equation"/>
        <w:rPr>
          <w:lang w:val="en-GB"/>
        </w:rPr>
      </w:pPr>
      <w:r w:rsidRPr="00D968F9">
        <w:rPr>
          <w:position w:val="-88"/>
          <w:lang w:val="en-GB"/>
        </w:rPr>
        <w:object w:dxaOrig="2840" w:dyaOrig="1900">
          <v:shape id="_x0000_i1034" type="#_x0000_t75" style="width:142.2pt;height:94.8pt" o:ole="">
            <v:imagedata r:id="rId34" o:title=""/>
          </v:shape>
          <o:OLEObject Type="Embed" ProgID="Equation.3" ShapeID="_x0000_i1034" DrawAspect="Content" ObjectID="_1507730897" r:id="rId35"/>
        </w:object>
      </w:r>
    </w:p>
    <w:p w:rsidR="00675F27" w:rsidRDefault="00AB517D" w:rsidP="00726AED">
      <w:pPr>
        <w:rPr>
          <w:lang w:val="en-GB"/>
        </w:rPr>
      </w:pPr>
      <w:r>
        <w:rPr>
          <w:lang w:val="en-GB"/>
        </w:rPr>
        <w:t xml:space="preserve">commenting </w:t>
      </w:r>
      <w:r w:rsidR="0057134D">
        <w:rPr>
          <w:lang w:val="en-GB"/>
        </w:rPr>
        <w:t>“</w:t>
      </w:r>
      <w:r>
        <w:rPr>
          <w:lang w:val="en-GB"/>
        </w:rPr>
        <w:t>but it’s not nice to write percentages inside brackets</w:t>
      </w:r>
      <w:r w:rsidR="0057134D">
        <w:rPr>
          <w:lang w:val="en-GB"/>
        </w:rPr>
        <w:t>”</w:t>
      </w:r>
      <w:r w:rsidR="00AE2162">
        <w:rPr>
          <w:lang w:val="en-GB"/>
        </w:rPr>
        <w:t>.</w:t>
      </w:r>
    </w:p>
    <w:p w:rsidR="00AB517D" w:rsidRDefault="00AB517D" w:rsidP="00726AED">
      <w:pPr>
        <w:rPr>
          <w:lang w:val="en-GB"/>
        </w:rPr>
      </w:pPr>
      <w:r>
        <w:rPr>
          <w:lang w:val="en-GB"/>
        </w:rPr>
        <w:t>Sally wrote:</w:t>
      </w:r>
    </w:p>
    <w:p w:rsidR="00675F27" w:rsidRDefault="00AB517D" w:rsidP="00AE2162">
      <w:pPr>
        <w:pStyle w:val="Equation"/>
        <w:rPr>
          <w:lang w:val="en-GB"/>
        </w:rPr>
      </w:pPr>
      <w:r w:rsidRPr="00BB03E6">
        <w:rPr>
          <w:position w:val="-28"/>
          <w:lang w:val="en-GB"/>
        </w:rPr>
        <w:object w:dxaOrig="2140" w:dyaOrig="680">
          <v:shape id="_x0000_i1035" type="#_x0000_t75" style="width:106.8pt;height:34.2pt" o:ole="">
            <v:imagedata r:id="rId36" o:title=""/>
          </v:shape>
          <o:OLEObject Type="Embed" ProgID="Equation.3" ShapeID="_x0000_i1035" DrawAspect="Content" ObjectID="_1507730898" r:id="rId37"/>
        </w:object>
      </w:r>
    </w:p>
    <w:p w:rsidR="00AB517D" w:rsidRDefault="00AB517D" w:rsidP="00AE2162">
      <w:pPr>
        <w:pStyle w:val="BlockQuote"/>
        <w:rPr>
          <w:lang w:val="en-GB"/>
        </w:rPr>
      </w:pPr>
      <w:r>
        <w:rPr>
          <w:lang w:val="en-GB"/>
        </w:rPr>
        <w:t>Caroline added ‘I started with 25 squared’.</w:t>
      </w:r>
    </w:p>
    <w:p w:rsidR="00AB517D" w:rsidRDefault="00AB517D" w:rsidP="00AE2162">
      <w:pPr>
        <w:pStyle w:val="BlockQuote"/>
        <w:rPr>
          <w:lang w:val="en-GB"/>
        </w:rPr>
      </w:pPr>
      <w:r>
        <w:rPr>
          <w:lang w:val="en-GB"/>
        </w:rPr>
        <w:t>Tutor: So you are using known facts.</w:t>
      </w:r>
    </w:p>
    <w:p w:rsidR="00675F27" w:rsidRDefault="00AB517D" w:rsidP="00AE2162">
      <w:pPr>
        <w:pStyle w:val="BlockQuote"/>
        <w:rPr>
          <w:lang w:val="en-GB"/>
        </w:rPr>
      </w:pPr>
      <w:r>
        <w:rPr>
          <w:lang w:val="en-GB"/>
        </w:rPr>
        <w:t>Andrew: There are ‘known known facts’ and ‘recently known facts’.</w:t>
      </w:r>
      <w:r w:rsidR="00B5651E">
        <w:rPr>
          <w:lang w:val="en-GB"/>
        </w:rPr>
        <w:t xml:space="preserve"> </w:t>
      </w:r>
      <w:r>
        <w:rPr>
          <w:lang w:val="en-GB"/>
        </w:rPr>
        <w:t>For example in the 17</w:t>
      </w:r>
      <w:r w:rsidRPr="00BB03E6">
        <w:rPr>
          <w:position w:val="-24"/>
          <w:lang w:val="en-GB"/>
        </w:rPr>
        <w:object w:dxaOrig="240" w:dyaOrig="620">
          <v:shape id="_x0000_i1036" type="#_x0000_t75" style="width:12pt;height:31.2pt" o:ole="">
            <v:imagedata r:id="rId38" o:title=""/>
          </v:shape>
          <o:OLEObject Type="Embed" ProgID="Equation.3" ShapeID="_x0000_i1036" DrawAspect="Content" ObjectID="_1507730899" r:id="rId39"/>
        </w:object>
      </w:r>
      <w:r>
        <w:rPr>
          <w:lang w:val="en-GB"/>
        </w:rPr>
        <w:t>% example from 10% you get 5% - it’s recent knowledge.</w:t>
      </w:r>
      <w:r w:rsidR="00B5651E">
        <w:rPr>
          <w:lang w:val="en-GB"/>
        </w:rPr>
        <w:t xml:space="preserve"> </w:t>
      </w:r>
      <w:r>
        <w:rPr>
          <w:lang w:val="en-GB"/>
        </w:rPr>
        <w:t>This is different from ‘knowing’ 25</w:t>
      </w:r>
      <w:r>
        <w:rPr>
          <w:lang w:val="en-GB"/>
        </w:rPr>
        <w:sym w:font="Symbol" w:char="F0B4"/>
      </w:r>
      <w:r>
        <w:rPr>
          <w:lang w:val="en-GB"/>
        </w:rPr>
        <w:t>25.</w:t>
      </w:r>
    </w:p>
    <w:p w:rsidR="00675F27" w:rsidRDefault="00AB517D" w:rsidP="00726AED">
      <w:pPr>
        <w:rPr>
          <w:lang w:val="en-GB"/>
        </w:rPr>
      </w:pPr>
      <w:r>
        <w:rPr>
          <w:lang w:val="en-GB"/>
        </w:rPr>
        <w:t xml:space="preserve">At this point I referred the </w:t>
      </w:r>
      <w:r w:rsidR="00C71694">
        <w:rPr>
          <w:lang w:val="en-GB"/>
        </w:rPr>
        <w:t>prospective teachers</w:t>
      </w:r>
      <w:r>
        <w:rPr>
          <w:lang w:val="en-GB"/>
        </w:rPr>
        <w:t xml:space="preserve"> to a government publication about strategies for mental calculation and we moved on to consider written calculation.</w:t>
      </w:r>
    </w:p>
    <w:p w:rsidR="00AB517D" w:rsidRDefault="00AB517D" w:rsidP="00726AED">
      <w:pPr>
        <w:rPr>
          <w:lang w:val="en-GB"/>
        </w:rPr>
      </w:pPr>
      <w:r>
        <w:rPr>
          <w:lang w:val="en-GB"/>
        </w:rPr>
        <w:t>One of the main purposes of this session was to offer the possibility to see algebraic structure in arithmetic.</w:t>
      </w:r>
      <w:r w:rsidR="00B5651E">
        <w:rPr>
          <w:lang w:val="en-GB"/>
        </w:rPr>
        <w:t xml:space="preserve"> </w:t>
      </w:r>
      <w:r w:rsidR="0057134D">
        <w:rPr>
          <w:lang w:val="en-GB"/>
        </w:rPr>
        <w:t>I</w:t>
      </w:r>
      <w:r>
        <w:rPr>
          <w:lang w:val="en-GB"/>
        </w:rPr>
        <w:t xml:space="preserve"> did this by </w:t>
      </w:r>
    </w:p>
    <w:p w:rsidR="00AB517D" w:rsidRDefault="00AB517D" w:rsidP="00AE2162">
      <w:pPr>
        <w:pStyle w:val="LISTbullet"/>
        <w:rPr>
          <w:lang w:val="en-GB"/>
        </w:rPr>
      </w:pPr>
      <w:r>
        <w:rPr>
          <w:lang w:val="en-GB"/>
        </w:rPr>
        <w:t>generating mathematic</w:t>
      </w:r>
      <w:r w:rsidR="00C71694">
        <w:rPr>
          <w:lang w:val="en-GB"/>
        </w:rPr>
        <w:t>al activity (asking them</w:t>
      </w:r>
      <w:r>
        <w:rPr>
          <w:lang w:val="en-GB"/>
        </w:rPr>
        <w:t xml:space="preserve"> to do the calculations themselves)</w:t>
      </w:r>
    </w:p>
    <w:p w:rsidR="00AB517D" w:rsidRDefault="00AB517D" w:rsidP="00AE2162">
      <w:pPr>
        <w:pStyle w:val="LISTbullet"/>
        <w:rPr>
          <w:lang w:val="en-GB"/>
        </w:rPr>
      </w:pPr>
      <w:r>
        <w:rPr>
          <w:lang w:val="en-GB"/>
        </w:rPr>
        <w:t>focusing on sameness and difference (by comparing similar methods for different calculations and different methods for the same calculation)</w:t>
      </w:r>
    </w:p>
    <w:p w:rsidR="00AB517D" w:rsidRDefault="00AB517D" w:rsidP="00AE2162">
      <w:pPr>
        <w:pStyle w:val="LISTbullet"/>
        <w:rPr>
          <w:lang w:val="en-GB"/>
        </w:rPr>
      </w:pPr>
      <w:r>
        <w:rPr>
          <w:lang w:val="en-GB"/>
        </w:rPr>
        <w:t xml:space="preserve">prompting </w:t>
      </w:r>
      <w:r w:rsidR="00C71694">
        <w:rPr>
          <w:lang w:val="en-GB"/>
        </w:rPr>
        <w:t>prospective teachers</w:t>
      </w:r>
      <w:r>
        <w:rPr>
          <w:lang w:val="en-GB"/>
        </w:rPr>
        <w:t xml:space="preserve"> to connect their recent experience with past experience</w:t>
      </w:r>
    </w:p>
    <w:p w:rsidR="00675F27" w:rsidRDefault="00AB517D" w:rsidP="00726AED">
      <w:pPr>
        <w:rPr>
          <w:lang w:val="en-GB"/>
        </w:rPr>
      </w:pPr>
      <w:r>
        <w:rPr>
          <w:lang w:val="en-GB"/>
        </w:rPr>
        <w:lastRenderedPageBreak/>
        <w:t xml:space="preserve">As a result many, perhaps all, were able to see a relationship between </w:t>
      </w:r>
      <w:proofErr w:type="spellStart"/>
      <w:r>
        <w:rPr>
          <w:lang w:val="en-GB"/>
        </w:rPr>
        <w:t>distributivity</w:t>
      </w:r>
      <w:proofErr w:type="spellEnd"/>
      <w:r>
        <w:rPr>
          <w:lang w:val="en-GB"/>
        </w:rPr>
        <w:t xml:space="preserve"> as a property of the number system and a variety of informal methods they had used to calculate.</w:t>
      </w:r>
      <w:r w:rsidR="00B5651E">
        <w:rPr>
          <w:lang w:val="en-GB"/>
        </w:rPr>
        <w:t xml:space="preserve"> </w:t>
      </w:r>
      <w:r>
        <w:rPr>
          <w:lang w:val="en-GB"/>
        </w:rPr>
        <w:t>The examples presented made it possible to see the wide application of this structure, not just as the distribution of multiplication over addition.</w:t>
      </w:r>
    </w:p>
    <w:p w:rsidR="00675F27" w:rsidRDefault="00AB517D" w:rsidP="00726AED">
      <w:pPr>
        <w:rPr>
          <w:lang w:val="en-GB"/>
        </w:rPr>
      </w:pPr>
      <w:r>
        <w:rPr>
          <w:lang w:val="en-GB"/>
        </w:rPr>
        <w:t>Beyond this a number of idea</w:t>
      </w:r>
      <w:r w:rsidR="00C71694">
        <w:rPr>
          <w:lang w:val="en-GB"/>
        </w:rPr>
        <w:t>s arose from individuals</w:t>
      </w:r>
      <w:r w:rsidR="0057134D">
        <w:rPr>
          <w:lang w:val="en-GB"/>
        </w:rPr>
        <w:t>, thus becoming</w:t>
      </w:r>
      <w:r>
        <w:rPr>
          <w:lang w:val="en-GB"/>
        </w:rPr>
        <w:t xml:space="preserve"> available for the group to work with in this session and subsequently</w:t>
      </w:r>
      <w:r w:rsidR="00FC5508">
        <w:rPr>
          <w:lang w:val="en-GB"/>
        </w:rPr>
        <w:t>, for example</w:t>
      </w:r>
      <w:r>
        <w:rPr>
          <w:lang w:val="en-GB"/>
        </w:rPr>
        <w:t>:</w:t>
      </w:r>
    </w:p>
    <w:p w:rsidR="00AB517D" w:rsidRDefault="00AB517D" w:rsidP="00AE2162">
      <w:pPr>
        <w:pStyle w:val="LISTbullet"/>
        <w:rPr>
          <w:lang w:val="en-GB"/>
        </w:rPr>
      </w:pPr>
      <w:r>
        <w:rPr>
          <w:lang w:val="en-GB"/>
        </w:rPr>
        <w:t>Andrew’s question to Will about what he thought when doing the mental calculation (‘Did you think “bracket”?’) enabled a distinction to be made between informal use and formal expression of structure</w:t>
      </w:r>
      <w:r w:rsidR="00502FCE">
        <w:rPr>
          <w:lang w:val="en-GB"/>
        </w:rPr>
        <w:t>;</w:t>
      </w:r>
    </w:p>
    <w:p w:rsidR="00AB517D" w:rsidRDefault="00FC5508" w:rsidP="00AE2162">
      <w:pPr>
        <w:pStyle w:val="LISTbullet"/>
        <w:rPr>
          <w:lang w:val="en-GB"/>
        </w:rPr>
      </w:pPr>
      <w:r>
        <w:rPr>
          <w:lang w:val="en-GB"/>
        </w:rPr>
        <w:t>t</w:t>
      </w:r>
      <w:r w:rsidR="00AB517D">
        <w:rPr>
          <w:lang w:val="en-GB"/>
        </w:rPr>
        <w:t>he importance of ten and its powers in the a</w:t>
      </w:r>
      <w:r w:rsidR="00502FCE">
        <w:rPr>
          <w:lang w:val="en-GB"/>
        </w:rPr>
        <w:t>rithmetic of our decimal system;</w:t>
      </w:r>
    </w:p>
    <w:p w:rsidR="00675F27" w:rsidRDefault="00FC5508" w:rsidP="00AE2162">
      <w:pPr>
        <w:pStyle w:val="LISTbullet"/>
        <w:rPr>
          <w:lang w:val="en-GB"/>
        </w:rPr>
      </w:pPr>
      <w:r>
        <w:rPr>
          <w:lang w:val="en-GB"/>
        </w:rPr>
        <w:t>t</w:t>
      </w:r>
      <w:r w:rsidR="00AB517D">
        <w:rPr>
          <w:lang w:val="en-GB"/>
        </w:rPr>
        <w:t>he usefulness of being able to shift from one representation to another (here from percentage to fraction)</w:t>
      </w:r>
      <w:r w:rsidR="00502FCE">
        <w:rPr>
          <w:lang w:val="en-GB"/>
        </w:rPr>
        <w:t>.</w:t>
      </w:r>
    </w:p>
    <w:p w:rsidR="00675F27" w:rsidRDefault="00AB517D" w:rsidP="00726AED">
      <w:pPr>
        <w:rPr>
          <w:lang w:val="en-GB"/>
        </w:rPr>
      </w:pPr>
      <w:r>
        <w:rPr>
          <w:lang w:val="en-GB"/>
        </w:rPr>
        <w:t xml:space="preserve">The </w:t>
      </w:r>
      <w:r w:rsidR="00C71694">
        <w:rPr>
          <w:lang w:val="en-GB"/>
        </w:rPr>
        <w:t>prospective teachers</w:t>
      </w:r>
      <w:r>
        <w:rPr>
          <w:lang w:val="en-GB"/>
        </w:rPr>
        <w:t xml:space="preserve"> also had the opportunity to experience the variety of valid approaches to the same calculation and learning with and from each other by comparing different ways of seeing.</w:t>
      </w:r>
    </w:p>
    <w:p w:rsidR="00675F27" w:rsidRDefault="00AB517D" w:rsidP="00F23C07">
      <w:pPr>
        <w:pStyle w:val="Heading1"/>
        <w:numPr>
          <w:ilvl w:val="0"/>
          <w:numId w:val="0"/>
        </w:numPr>
        <w:ind w:left="900" w:hanging="900"/>
        <w:rPr>
          <w:lang w:val="en-GB"/>
        </w:rPr>
      </w:pPr>
      <w:r>
        <w:rPr>
          <w:lang w:val="en-GB"/>
        </w:rPr>
        <w:t>Exploring the meaning of algebra</w:t>
      </w:r>
    </w:p>
    <w:p w:rsidR="00AB517D" w:rsidRDefault="00AB517D" w:rsidP="000B1420">
      <w:pPr>
        <w:rPr>
          <w:lang w:val="en-GB"/>
        </w:rPr>
      </w:pPr>
      <w:r>
        <w:rPr>
          <w:lang w:val="en-GB"/>
        </w:rPr>
        <w:t xml:space="preserve">The </w:t>
      </w:r>
      <w:r w:rsidR="00C71694">
        <w:rPr>
          <w:lang w:val="en-GB"/>
        </w:rPr>
        <w:t>prospective teachers</w:t>
      </w:r>
      <w:r>
        <w:rPr>
          <w:lang w:val="en-GB"/>
        </w:rPr>
        <w:t xml:space="preserve"> were seated at tables in threes or fours.</w:t>
      </w:r>
      <w:r w:rsidR="00B5651E">
        <w:rPr>
          <w:lang w:val="en-GB"/>
        </w:rPr>
        <w:t xml:space="preserve"> </w:t>
      </w:r>
      <w:r>
        <w:rPr>
          <w:lang w:val="en-GB"/>
        </w:rPr>
        <w:t>Each table was given a collection of slips of paper on which the following items (questions or expressions) were printed:</w:t>
      </w:r>
    </w:p>
    <w:p w:rsidR="000B1420" w:rsidRDefault="000B1420" w:rsidP="000B1420">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923"/>
        <w:gridCol w:w="3421"/>
      </w:tblGrid>
      <w:tr w:rsidR="00502FCE" w:rsidRPr="007E464A" w:rsidTr="00502FCE">
        <w:trPr>
          <w:trHeight w:val="510"/>
        </w:trPr>
        <w:tc>
          <w:tcPr>
            <w:tcW w:w="675" w:type="dxa"/>
          </w:tcPr>
          <w:p w:rsidR="00AB517D" w:rsidRPr="007E464A" w:rsidRDefault="00AE2162" w:rsidP="007E464A">
            <w:pPr>
              <w:jc w:val="left"/>
              <w:rPr>
                <w:lang w:val="en-GB"/>
              </w:rPr>
            </w:pPr>
            <w:r w:rsidRPr="007E464A">
              <w:rPr>
                <w:lang w:val="en-GB"/>
              </w:rPr>
              <w:t>A</w:t>
            </w:r>
          </w:p>
        </w:tc>
        <w:tc>
          <w:tcPr>
            <w:tcW w:w="2923" w:type="dxa"/>
            <w:vAlign w:val="center"/>
          </w:tcPr>
          <w:p w:rsidR="00AB517D" w:rsidRPr="007E464A" w:rsidRDefault="009E484F" w:rsidP="00502FCE">
            <w:pPr>
              <w:pStyle w:val="Equation"/>
              <w:jc w:val="left"/>
              <w:rPr>
                <w:lang w:val="en-GB"/>
              </w:rPr>
            </w:pPr>
            <w:r>
              <w:rPr>
                <w:noProof/>
                <w:lang w:val="en-GB" w:eastAsia="en-GB"/>
              </w:rPr>
              <w:drawing>
                <wp:inline distT="0" distB="0" distL="0" distR="0">
                  <wp:extent cx="1943100" cy="28956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cstate="print"/>
                          <a:srcRect/>
                          <a:stretch>
                            <a:fillRect/>
                          </a:stretch>
                        </pic:blipFill>
                        <pic:spPr bwMode="auto">
                          <a:xfrm>
                            <a:off x="0" y="0"/>
                            <a:ext cx="1943100" cy="289560"/>
                          </a:xfrm>
                          <a:prstGeom prst="rect">
                            <a:avLst/>
                          </a:prstGeom>
                          <a:noFill/>
                          <a:ln w="9525">
                            <a:noFill/>
                            <a:miter lim="800000"/>
                            <a:headEnd/>
                            <a:tailEnd/>
                          </a:ln>
                        </pic:spPr>
                      </pic:pic>
                    </a:graphicData>
                  </a:graphic>
                </wp:inline>
              </w:drawing>
            </w:r>
          </w:p>
        </w:tc>
        <w:tc>
          <w:tcPr>
            <w:tcW w:w="3421" w:type="dxa"/>
            <w:vAlign w:val="center"/>
          </w:tcPr>
          <w:p w:rsidR="00AB517D" w:rsidRPr="007E464A" w:rsidRDefault="009E484F" w:rsidP="00502FCE">
            <w:pPr>
              <w:pStyle w:val="Equation"/>
              <w:jc w:val="left"/>
              <w:rPr>
                <w:lang w:val="en-GB"/>
              </w:rPr>
            </w:pPr>
            <w:r>
              <w:rPr>
                <w:noProof/>
                <w:lang w:val="en-GB" w:eastAsia="en-GB"/>
              </w:rPr>
              <w:drawing>
                <wp:inline distT="0" distB="0" distL="0" distR="0">
                  <wp:extent cx="1988820" cy="29718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1" cstate="print"/>
                          <a:srcRect/>
                          <a:stretch>
                            <a:fillRect/>
                          </a:stretch>
                        </pic:blipFill>
                        <pic:spPr bwMode="auto">
                          <a:xfrm>
                            <a:off x="0" y="0"/>
                            <a:ext cx="1988820" cy="297180"/>
                          </a:xfrm>
                          <a:prstGeom prst="rect">
                            <a:avLst/>
                          </a:prstGeom>
                          <a:noFill/>
                          <a:ln w="9525">
                            <a:noFill/>
                            <a:miter lim="800000"/>
                            <a:headEnd/>
                            <a:tailEnd/>
                          </a:ln>
                        </pic:spPr>
                      </pic:pic>
                    </a:graphicData>
                  </a:graphic>
                </wp:inline>
              </w:drawing>
            </w:r>
          </w:p>
        </w:tc>
      </w:tr>
      <w:tr w:rsidR="00502FCE" w:rsidRPr="007E464A" w:rsidTr="00502FCE">
        <w:trPr>
          <w:trHeight w:val="510"/>
        </w:trPr>
        <w:tc>
          <w:tcPr>
            <w:tcW w:w="675" w:type="dxa"/>
          </w:tcPr>
          <w:p w:rsidR="00AB517D" w:rsidRPr="007E464A" w:rsidRDefault="00AB517D" w:rsidP="007E464A">
            <w:pPr>
              <w:jc w:val="left"/>
              <w:rPr>
                <w:lang w:val="en-GB"/>
              </w:rPr>
            </w:pPr>
            <w:r w:rsidRPr="007E464A">
              <w:rPr>
                <w:lang w:val="en-GB"/>
              </w:rPr>
              <w:t>B</w:t>
            </w:r>
          </w:p>
        </w:tc>
        <w:tc>
          <w:tcPr>
            <w:tcW w:w="2923" w:type="dxa"/>
            <w:vAlign w:val="center"/>
          </w:tcPr>
          <w:p w:rsidR="00AB517D" w:rsidRPr="007E464A" w:rsidRDefault="009E484F" w:rsidP="00502FCE">
            <w:pPr>
              <w:pStyle w:val="Equation"/>
              <w:ind w:left="0"/>
              <w:jc w:val="left"/>
              <w:rPr>
                <w:lang w:val="en-GB"/>
              </w:rPr>
            </w:pPr>
            <w:r>
              <w:rPr>
                <w:noProof/>
                <w:lang w:val="en-GB" w:eastAsia="en-GB"/>
              </w:rPr>
              <w:drawing>
                <wp:inline distT="0" distB="0" distL="0" distR="0">
                  <wp:extent cx="1744980" cy="28956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2" cstate="print"/>
                          <a:srcRect/>
                          <a:stretch>
                            <a:fillRect/>
                          </a:stretch>
                        </pic:blipFill>
                        <pic:spPr bwMode="auto">
                          <a:xfrm>
                            <a:off x="0" y="0"/>
                            <a:ext cx="1744980" cy="289560"/>
                          </a:xfrm>
                          <a:prstGeom prst="rect">
                            <a:avLst/>
                          </a:prstGeom>
                          <a:noFill/>
                          <a:ln w="9525">
                            <a:noFill/>
                            <a:miter lim="800000"/>
                            <a:headEnd/>
                            <a:tailEnd/>
                          </a:ln>
                        </pic:spPr>
                      </pic:pic>
                    </a:graphicData>
                  </a:graphic>
                </wp:inline>
              </w:drawing>
            </w:r>
          </w:p>
        </w:tc>
        <w:tc>
          <w:tcPr>
            <w:tcW w:w="3421" w:type="dxa"/>
            <w:vAlign w:val="center"/>
          </w:tcPr>
          <w:p w:rsidR="00AB517D" w:rsidRPr="007E464A" w:rsidRDefault="009E484F" w:rsidP="00502FCE">
            <w:pPr>
              <w:pStyle w:val="Equation"/>
              <w:ind w:left="0"/>
              <w:jc w:val="left"/>
              <w:rPr>
                <w:lang w:val="en-GB"/>
              </w:rPr>
            </w:pPr>
            <w:r>
              <w:rPr>
                <w:noProof/>
                <w:lang w:val="en-GB" w:eastAsia="en-GB"/>
              </w:rPr>
              <w:drawing>
                <wp:inline distT="0" distB="0" distL="0" distR="0">
                  <wp:extent cx="2004060" cy="350520"/>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3" cstate="print"/>
                          <a:srcRect/>
                          <a:stretch>
                            <a:fillRect/>
                          </a:stretch>
                        </pic:blipFill>
                        <pic:spPr bwMode="auto">
                          <a:xfrm>
                            <a:off x="0" y="0"/>
                            <a:ext cx="2004060" cy="350520"/>
                          </a:xfrm>
                          <a:prstGeom prst="rect">
                            <a:avLst/>
                          </a:prstGeom>
                          <a:noFill/>
                          <a:ln w="9525">
                            <a:noFill/>
                            <a:miter lim="800000"/>
                            <a:headEnd/>
                            <a:tailEnd/>
                          </a:ln>
                        </pic:spPr>
                      </pic:pic>
                    </a:graphicData>
                  </a:graphic>
                </wp:inline>
              </w:drawing>
            </w:r>
          </w:p>
        </w:tc>
      </w:tr>
      <w:tr w:rsidR="00502FCE" w:rsidRPr="007E464A" w:rsidTr="00502FCE">
        <w:trPr>
          <w:trHeight w:val="510"/>
        </w:trPr>
        <w:tc>
          <w:tcPr>
            <w:tcW w:w="675" w:type="dxa"/>
          </w:tcPr>
          <w:p w:rsidR="00AB517D" w:rsidRPr="003075D6" w:rsidRDefault="00AB517D" w:rsidP="007E464A">
            <w:pPr>
              <w:jc w:val="left"/>
            </w:pPr>
            <w:r>
              <w:t>C</w:t>
            </w:r>
          </w:p>
        </w:tc>
        <w:tc>
          <w:tcPr>
            <w:tcW w:w="2923" w:type="dxa"/>
          </w:tcPr>
          <w:p w:rsidR="000B1420" w:rsidRDefault="000B1420" w:rsidP="000B1420">
            <w:pPr>
              <w:ind w:firstLine="0"/>
              <w:jc w:val="left"/>
            </w:pPr>
          </w:p>
          <w:p w:rsidR="00AB517D" w:rsidRPr="000B1420" w:rsidRDefault="00AB517D" w:rsidP="000B1420">
            <w:pPr>
              <w:ind w:firstLine="0"/>
              <w:jc w:val="left"/>
            </w:pPr>
            <w:r w:rsidRPr="003075D6">
              <w:t>Find the next term in the sequence</w:t>
            </w:r>
            <w:r w:rsidR="000B1420">
              <w:t xml:space="preserve"> </w:t>
            </w:r>
            <w:r w:rsidRPr="007E464A">
              <w:rPr>
                <w:b/>
              </w:rPr>
              <w:t>1, 4, 7, 10, ...</w:t>
            </w:r>
          </w:p>
        </w:tc>
        <w:tc>
          <w:tcPr>
            <w:tcW w:w="3421" w:type="dxa"/>
          </w:tcPr>
          <w:p w:rsidR="000B1420" w:rsidRDefault="000B1420" w:rsidP="000B1420">
            <w:pPr>
              <w:ind w:firstLine="0"/>
              <w:jc w:val="left"/>
            </w:pPr>
          </w:p>
          <w:p w:rsidR="00AB517D" w:rsidRDefault="00AB517D" w:rsidP="000B1420">
            <w:pPr>
              <w:ind w:firstLine="0"/>
              <w:jc w:val="left"/>
              <w:rPr>
                <w:b/>
              </w:rPr>
            </w:pPr>
            <w:r w:rsidRPr="003075D6">
              <w:t>Find the 100th term in the sequence</w:t>
            </w:r>
            <w:r w:rsidRPr="007E464A">
              <w:rPr>
                <w:b/>
              </w:rPr>
              <w:t>1, 4, 7, 10, ...</w:t>
            </w:r>
          </w:p>
          <w:p w:rsidR="000B1420" w:rsidRPr="000B1420" w:rsidRDefault="000B1420" w:rsidP="000B1420">
            <w:pPr>
              <w:ind w:firstLine="0"/>
              <w:jc w:val="left"/>
            </w:pPr>
          </w:p>
        </w:tc>
      </w:tr>
      <w:tr w:rsidR="00502FCE" w:rsidRPr="007E464A" w:rsidTr="00502FCE">
        <w:trPr>
          <w:trHeight w:val="510"/>
        </w:trPr>
        <w:tc>
          <w:tcPr>
            <w:tcW w:w="675" w:type="dxa"/>
          </w:tcPr>
          <w:p w:rsidR="00AB517D" w:rsidRPr="003075D6" w:rsidRDefault="00AB517D" w:rsidP="007E464A">
            <w:pPr>
              <w:jc w:val="left"/>
            </w:pPr>
          </w:p>
        </w:tc>
        <w:tc>
          <w:tcPr>
            <w:tcW w:w="2923" w:type="dxa"/>
          </w:tcPr>
          <w:p w:rsidR="000B1420" w:rsidRDefault="000B1420" w:rsidP="000B1420">
            <w:pPr>
              <w:ind w:firstLine="0"/>
              <w:jc w:val="left"/>
            </w:pPr>
          </w:p>
          <w:p w:rsidR="00AB517D" w:rsidRDefault="00AB517D" w:rsidP="000B1420">
            <w:pPr>
              <w:ind w:firstLine="0"/>
              <w:jc w:val="left"/>
              <w:rPr>
                <w:b/>
              </w:rPr>
            </w:pPr>
            <w:r w:rsidRPr="003075D6">
              <w:t xml:space="preserve">Find the </w:t>
            </w:r>
            <w:r w:rsidRPr="007E464A">
              <w:rPr>
                <w:i/>
              </w:rPr>
              <w:t>n</w:t>
            </w:r>
            <w:r w:rsidRPr="003075D6">
              <w:t>th term in the sequence</w:t>
            </w:r>
            <w:r w:rsidR="000B1420">
              <w:t xml:space="preserve"> </w:t>
            </w:r>
            <w:r w:rsidRPr="007E464A">
              <w:rPr>
                <w:b/>
              </w:rPr>
              <w:t>1, 4, 7, 10, ...</w:t>
            </w:r>
          </w:p>
          <w:p w:rsidR="000B1420" w:rsidRPr="000B1420" w:rsidRDefault="000B1420" w:rsidP="000B1420">
            <w:pPr>
              <w:ind w:firstLine="0"/>
              <w:jc w:val="left"/>
            </w:pPr>
          </w:p>
        </w:tc>
        <w:tc>
          <w:tcPr>
            <w:tcW w:w="3421" w:type="dxa"/>
          </w:tcPr>
          <w:p w:rsidR="00AB517D" w:rsidRPr="007E464A" w:rsidRDefault="00AB517D" w:rsidP="007E464A">
            <w:pPr>
              <w:jc w:val="left"/>
              <w:rPr>
                <w:lang w:val="en-GB"/>
              </w:rPr>
            </w:pPr>
          </w:p>
        </w:tc>
      </w:tr>
      <w:tr w:rsidR="00502FCE" w:rsidRPr="007E464A" w:rsidTr="00502FCE">
        <w:trPr>
          <w:trHeight w:val="510"/>
        </w:trPr>
        <w:tc>
          <w:tcPr>
            <w:tcW w:w="675" w:type="dxa"/>
          </w:tcPr>
          <w:p w:rsidR="00AB517D" w:rsidRPr="003075D6" w:rsidRDefault="00AB517D" w:rsidP="007E464A">
            <w:pPr>
              <w:jc w:val="left"/>
            </w:pPr>
            <w:r>
              <w:lastRenderedPageBreak/>
              <w:t>D</w:t>
            </w:r>
          </w:p>
        </w:tc>
        <w:tc>
          <w:tcPr>
            <w:tcW w:w="2923" w:type="dxa"/>
          </w:tcPr>
          <w:p w:rsidR="00AB517D" w:rsidRPr="007E464A" w:rsidRDefault="00AB517D" w:rsidP="007E464A">
            <w:pPr>
              <w:jc w:val="left"/>
              <w:rPr>
                <w:lang w:val="en-GB"/>
              </w:rPr>
            </w:pPr>
            <w:r w:rsidRPr="003075D6">
              <w:t>I asked my grandma to tell me how old she was.</w:t>
            </w:r>
            <w:r w:rsidR="00B5651E">
              <w:t xml:space="preserve"> </w:t>
            </w:r>
            <w:r w:rsidRPr="003075D6">
              <w:t>She replied, 'if you multiply my age by 3 and then subtract 100 you get the same answer as if you took my age and added 34'.</w:t>
            </w:r>
            <w:r w:rsidR="00B5651E">
              <w:t xml:space="preserve"> </w:t>
            </w:r>
            <w:r w:rsidRPr="003075D6">
              <w:t>Find grandma's age.</w:t>
            </w:r>
          </w:p>
        </w:tc>
        <w:tc>
          <w:tcPr>
            <w:tcW w:w="3421" w:type="dxa"/>
          </w:tcPr>
          <w:p w:rsidR="00AB517D" w:rsidRPr="0053015E" w:rsidRDefault="00AB517D" w:rsidP="007E464A">
            <w:pPr>
              <w:jc w:val="left"/>
            </w:pPr>
            <w:r w:rsidRPr="0053015E">
              <w:t>Alan thinks of a number, multiplies it by 7, then adds 13 to the result.</w:t>
            </w:r>
            <w:r w:rsidR="00B5651E">
              <w:t xml:space="preserve"> </w:t>
            </w:r>
            <w:r w:rsidRPr="0053015E">
              <w:t>The final answer is 69.</w:t>
            </w:r>
            <w:r w:rsidR="00B5651E">
              <w:t xml:space="preserve"> </w:t>
            </w:r>
            <w:r w:rsidRPr="0053015E">
              <w:t>What number did Alan think of?</w:t>
            </w:r>
          </w:p>
          <w:p w:rsidR="00AB517D" w:rsidRPr="007E464A" w:rsidRDefault="00AB517D" w:rsidP="007E464A">
            <w:pPr>
              <w:jc w:val="left"/>
              <w:rPr>
                <w:lang w:val="en-GB"/>
              </w:rPr>
            </w:pPr>
          </w:p>
        </w:tc>
      </w:tr>
      <w:tr w:rsidR="00502FCE" w:rsidRPr="007E464A" w:rsidTr="00502FCE">
        <w:trPr>
          <w:trHeight w:val="510"/>
        </w:trPr>
        <w:tc>
          <w:tcPr>
            <w:tcW w:w="675" w:type="dxa"/>
          </w:tcPr>
          <w:p w:rsidR="00AB517D" w:rsidRDefault="00AB517D" w:rsidP="007E464A">
            <w:pPr>
              <w:jc w:val="left"/>
            </w:pPr>
            <w:r>
              <w:t>E</w:t>
            </w:r>
          </w:p>
        </w:tc>
        <w:tc>
          <w:tcPr>
            <w:tcW w:w="2923" w:type="dxa"/>
          </w:tcPr>
          <w:p w:rsidR="00AB517D" w:rsidRPr="003075D6" w:rsidRDefault="00AB517D" w:rsidP="007E464A">
            <w:pPr>
              <w:jc w:val="left"/>
            </w:pPr>
            <w:r>
              <w:t>The spreadsheet formula</w:t>
            </w:r>
          </w:p>
          <w:p w:rsidR="00AB517D" w:rsidRPr="007E464A" w:rsidRDefault="00AB517D" w:rsidP="007E464A">
            <w:pPr>
              <w:pStyle w:val="Equation"/>
              <w:jc w:val="left"/>
              <w:rPr>
                <w:b/>
                <w:sz w:val="28"/>
                <w:szCs w:val="28"/>
              </w:rPr>
            </w:pPr>
            <w:r w:rsidRPr="007E464A">
              <w:rPr>
                <w:b/>
                <w:sz w:val="28"/>
                <w:szCs w:val="28"/>
              </w:rPr>
              <w:t xml:space="preserve">= A3*0.15 + 12.50 </w:t>
            </w:r>
          </w:p>
          <w:p w:rsidR="00AB517D" w:rsidRPr="003075D6" w:rsidRDefault="00AB517D" w:rsidP="00502FCE">
            <w:pPr>
              <w:ind w:firstLine="0"/>
              <w:jc w:val="left"/>
            </w:pPr>
            <w:r w:rsidRPr="0053015E">
              <w:t>produced by typing on the keyboard</w:t>
            </w:r>
          </w:p>
        </w:tc>
        <w:tc>
          <w:tcPr>
            <w:tcW w:w="3421" w:type="dxa"/>
          </w:tcPr>
          <w:p w:rsidR="00AB517D" w:rsidRPr="003075D6" w:rsidRDefault="00AB517D" w:rsidP="007E464A">
            <w:pPr>
              <w:jc w:val="left"/>
            </w:pPr>
            <w:r>
              <w:t>The spreadsheet formula</w:t>
            </w:r>
          </w:p>
          <w:p w:rsidR="00AB517D" w:rsidRPr="007E464A" w:rsidRDefault="00AB517D" w:rsidP="007E464A">
            <w:pPr>
              <w:pStyle w:val="Equation"/>
              <w:jc w:val="left"/>
              <w:rPr>
                <w:b/>
                <w:sz w:val="28"/>
                <w:szCs w:val="28"/>
              </w:rPr>
            </w:pPr>
            <w:r w:rsidRPr="007E464A">
              <w:rPr>
                <w:b/>
                <w:sz w:val="28"/>
                <w:szCs w:val="28"/>
              </w:rPr>
              <w:t xml:space="preserve">= A3*0.15 + 12.50 </w:t>
            </w:r>
          </w:p>
          <w:p w:rsidR="00AB517D" w:rsidRPr="003075D6" w:rsidRDefault="00AB517D" w:rsidP="00502FCE">
            <w:pPr>
              <w:ind w:firstLine="0"/>
              <w:jc w:val="left"/>
            </w:pPr>
            <w:r w:rsidRPr="0053015E">
              <w:t>produced by clicking on A3, and typing</w:t>
            </w:r>
          </w:p>
        </w:tc>
      </w:tr>
      <w:tr w:rsidR="00502FCE" w:rsidRPr="007E464A" w:rsidTr="00502FCE">
        <w:trPr>
          <w:trHeight w:val="510"/>
        </w:trPr>
        <w:tc>
          <w:tcPr>
            <w:tcW w:w="675" w:type="dxa"/>
          </w:tcPr>
          <w:p w:rsidR="00AB517D" w:rsidRDefault="00AB517D" w:rsidP="007E464A">
            <w:pPr>
              <w:jc w:val="left"/>
            </w:pPr>
          </w:p>
        </w:tc>
        <w:tc>
          <w:tcPr>
            <w:tcW w:w="2923" w:type="dxa"/>
          </w:tcPr>
          <w:p w:rsidR="00AB517D" w:rsidRPr="003075D6" w:rsidRDefault="00AB517D" w:rsidP="007E464A">
            <w:pPr>
              <w:jc w:val="left"/>
            </w:pPr>
            <w:r>
              <w:t>The spreadsheet formula</w:t>
            </w:r>
          </w:p>
          <w:p w:rsidR="00AB517D" w:rsidRPr="007E464A" w:rsidRDefault="00AB517D" w:rsidP="007E464A">
            <w:pPr>
              <w:pStyle w:val="Equation"/>
              <w:jc w:val="left"/>
              <w:rPr>
                <w:b/>
                <w:sz w:val="28"/>
                <w:szCs w:val="28"/>
              </w:rPr>
            </w:pPr>
            <w:r w:rsidRPr="007E464A">
              <w:rPr>
                <w:b/>
                <w:sz w:val="28"/>
                <w:szCs w:val="28"/>
              </w:rPr>
              <w:t xml:space="preserve">= A3*0.15 + 12.50 </w:t>
            </w:r>
          </w:p>
          <w:p w:rsidR="00AB517D" w:rsidRPr="003075D6" w:rsidRDefault="00AB517D" w:rsidP="00502FCE">
            <w:pPr>
              <w:ind w:firstLine="0"/>
              <w:jc w:val="left"/>
            </w:pPr>
            <w:r w:rsidRPr="0053015E">
              <w:t>produced by dragging a formula from a higher cell</w:t>
            </w:r>
          </w:p>
        </w:tc>
        <w:tc>
          <w:tcPr>
            <w:tcW w:w="3421" w:type="dxa"/>
          </w:tcPr>
          <w:p w:rsidR="00AB517D" w:rsidRPr="007E464A" w:rsidRDefault="00AB517D" w:rsidP="007E464A">
            <w:pPr>
              <w:jc w:val="left"/>
              <w:rPr>
                <w:lang w:val="en-GB"/>
              </w:rPr>
            </w:pPr>
          </w:p>
        </w:tc>
      </w:tr>
    </w:tbl>
    <w:p w:rsidR="00502FCE" w:rsidRDefault="00502FCE" w:rsidP="00502FCE">
      <w:pPr>
        <w:ind w:firstLine="0"/>
        <w:rPr>
          <w:lang w:val="en-GB"/>
        </w:rPr>
      </w:pPr>
    </w:p>
    <w:p w:rsidR="00675F27" w:rsidRDefault="00C71694" w:rsidP="00502FCE">
      <w:pPr>
        <w:rPr>
          <w:lang w:val="en-GB"/>
        </w:rPr>
      </w:pPr>
      <w:r>
        <w:rPr>
          <w:lang w:val="en-GB"/>
        </w:rPr>
        <w:t>They</w:t>
      </w:r>
      <w:r w:rsidR="00AB517D">
        <w:rPr>
          <w:lang w:val="en-GB"/>
        </w:rPr>
        <w:t xml:space="preserve"> were asked to negotiate with each other in order to separate the slips into two piles ‘Algebra’ and ‘Not Algebra’.</w:t>
      </w:r>
      <w:r>
        <w:rPr>
          <w:lang w:val="en-GB"/>
        </w:rPr>
        <w:t xml:space="preserve"> As they</w:t>
      </w:r>
      <w:r w:rsidR="00AB517D">
        <w:rPr>
          <w:lang w:val="en-GB"/>
        </w:rPr>
        <w:t xml:space="preserve"> talked they tended to consider the items in the pairs or threes in which they are presented above.</w:t>
      </w:r>
      <w:r w:rsidR="00B5651E">
        <w:rPr>
          <w:lang w:val="en-GB"/>
        </w:rPr>
        <w:t xml:space="preserve"> </w:t>
      </w:r>
      <w:r w:rsidR="00AB517D">
        <w:rPr>
          <w:lang w:val="en-GB"/>
        </w:rPr>
        <w:t>They also often preferred to talk about items being more or less algebraic rather than ‘algebra’ or ‘not algebra’.</w:t>
      </w:r>
    </w:p>
    <w:p w:rsidR="00AB517D" w:rsidRDefault="00AB517D" w:rsidP="00726AED">
      <w:pPr>
        <w:rPr>
          <w:lang w:val="en-GB"/>
        </w:rPr>
      </w:pPr>
      <w:r>
        <w:rPr>
          <w:lang w:val="en-GB"/>
        </w:rPr>
        <w:t>After about ten minutes of group discussion I asked for comments.</w:t>
      </w:r>
      <w:r w:rsidR="00B5651E">
        <w:rPr>
          <w:lang w:val="en-GB"/>
        </w:rPr>
        <w:t xml:space="preserve"> </w:t>
      </w:r>
      <w:r>
        <w:rPr>
          <w:lang w:val="en-GB"/>
        </w:rPr>
        <w:t>The first offered was about the expressions in set A above and asserted that the second is algebra but the first is not</w:t>
      </w:r>
      <w:r w:rsidR="00E42102">
        <w:rPr>
          <w:lang w:val="en-GB"/>
        </w:rPr>
        <w:t>.</w:t>
      </w:r>
    </w:p>
    <w:p w:rsidR="00AB517D" w:rsidRDefault="00AB517D" w:rsidP="00E42102">
      <w:pPr>
        <w:pStyle w:val="BlockQuote"/>
        <w:rPr>
          <w:lang w:val="en-GB"/>
        </w:rPr>
      </w:pPr>
      <w:r>
        <w:rPr>
          <w:lang w:val="en-GB"/>
        </w:rPr>
        <w:t>Veronica: It depends on how you present it</w:t>
      </w:r>
    </w:p>
    <w:p w:rsidR="00AB517D" w:rsidRDefault="00AB517D" w:rsidP="00E42102">
      <w:pPr>
        <w:pStyle w:val="BlockQuote"/>
        <w:rPr>
          <w:lang w:val="en-GB"/>
        </w:rPr>
      </w:pPr>
      <w:r>
        <w:rPr>
          <w:lang w:val="en-GB"/>
        </w:rPr>
        <w:t>Tutor: Does putting a letter in make a difference?</w:t>
      </w:r>
    </w:p>
    <w:p w:rsidR="00AB517D" w:rsidRDefault="00AB517D" w:rsidP="00E42102">
      <w:pPr>
        <w:pStyle w:val="BlockQuote"/>
        <w:rPr>
          <w:lang w:val="en-GB"/>
        </w:rPr>
      </w:pPr>
      <w:r>
        <w:rPr>
          <w:lang w:val="en-GB"/>
        </w:rPr>
        <w:t>Veronica: No, it’s because it is an unknown</w:t>
      </w:r>
    </w:p>
    <w:p w:rsidR="00AB517D" w:rsidRDefault="00AB517D" w:rsidP="00E42102">
      <w:pPr>
        <w:pStyle w:val="BlockQuote"/>
        <w:rPr>
          <w:lang w:val="en-GB"/>
        </w:rPr>
      </w:pPr>
      <w:r>
        <w:rPr>
          <w:lang w:val="en-GB"/>
        </w:rPr>
        <w:t>Tutor: So what makes it algebra or not?</w:t>
      </w:r>
    </w:p>
    <w:p w:rsidR="00AB517D" w:rsidRDefault="00AB517D" w:rsidP="00E42102">
      <w:pPr>
        <w:pStyle w:val="BlockQuote"/>
        <w:rPr>
          <w:lang w:val="en-GB"/>
        </w:rPr>
      </w:pPr>
      <w:r>
        <w:rPr>
          <w:lang w:val="en-GB"/>
        </w:rPr>
        <w:t>Andrew: Without the box the first one looks just like a problem</w:t>
      </w:r>
    </w:p>
    <w:p w:rsidR="00675F27" w:rsidRDefault="00AB517D" w:rsidP="00E42102">
      <w:pPr>
        <w:pStyle w:val="BlockQuote"/>
        <w:rPr>
          <w:lang w:val="en-GB"/>
        </w:rPr>
      </w:pPr>
      <w:r>
        <w:rPr>
          <w:lang w:val="en-GB"/>
        </w:rPr>
        <w:t>Tutor: If you think of it as something to rearrange it is algebra, but otherwise it is just a ‘sum’?</w:t>
      </w:r>
    </w:p>
    <w:p w:rsidR="00675F27" w:rsidRDefault="00AB517D" w:rsidP="00726AED">
      <w:pPr>
        <w:rPr>
          <w:lang w:val="en-GB"/>
        </w:rPr>
      </w:pPr>
      <w:r>
        <w:rPr>
          <w:lang w:val="en-GB"/>
        </w:rPr>
        <w:t>Soon after this Veronica summarise</w:t>
      </w:r>
      <w:r w:rsidR="0057134D">
        <w:rPr>
          <w:lang w:val="en-GB"/>
        </w:rPr>
        <w:t>d</w:t>
      </w:r>
      <w:r>
        <w:rPr>
          <w:lang w:val="en-GB"/>
        </w:rPr>
        <w:t xml:space="preserve"> the discussion by saying that algebra is not marks on paper, but an approach that is taken to what is written.</w:t>
      </w:r>
    </w:p>
    <w:p w:rsidR="00675F27" w:rsidRDefault="00AB517D" w:rsidP="00726AED">
      <w:pPr>
        <w:rPr>
          <w:lang w:val="en-GB"/>
        </w:rPr>
      </w:pPr>
      <w:r>
        <w:rPr>
          <w:lang w:val="en-GB"/>
        </w:rPr>
        <w:lastRenderedPageBreak/>
        <w:t>The next comment was on the pair of expressions labelled B.</w:t>
      </w:r>
      <w:r w:rsidR="00B5651E">
        <w:rPr>
          <w:lang w:val="en-GB"/>
        </w:rPr>
        <w:t xml:space="preserve"> </w:t>
      </w:r>
      <w:proofErr w:type="spellStart"/>
      <w:r>
        <w:rPr>
          <w:lang w:val="en-GB"/>
        </w:rPr>
        <w:t>Madena</w:t>
      </w:r>
      <w:proofErr w:type="spellEnd"/>
      <w:r>
        <w:rPr>
          <w:lang w:val="en-GB"/>
        </w:rPr>
        <w:t xml:space="preserve"> said that the first is a realisation of the axiom expressed in the second, so that neither of them is algebra if algebra is seen as something you do.</w:t>
      </w:r>
      <w:r w:rsidR="00B5651E">
        <w:rPr>
          <w:lang w:val="en-GB"/>
        </w:rPr>
        <w:t xml:space="preserve"> </w:t>
      </w:r>
      <w:r>
        <w:rPr>
          <w:lang w:val="en-GB"/>
        </w:rPr>
        <w:t>This allowed us to contrast two meanings of algebra, that is the task of manipulating symbols according to certain rules (manipulative algebra) as opposed to the study of the rules themselves (abstract or axiomatic algebra).</w:t>
      </w:r>
      <w:r w:rsidR="00B5651E">
        <w:rPr>
          <w:lang w:val="en-GB"/>
        </w:rPr>
        <w:t xml:space="preserve"> </w:t>
      </w:r>
    </w:p>
    <w:p w:rsidR="00675F27" w:rsidRDefault="00AB517D" w:rsidP="00726AED">
      <w:pPr>
        <w:rPr>
          <w:lang w:val="en-GB"/>
        </w:rPr>
      </w:pPr>
      <w:r>
        <w:rPr>
          <w:lang w:val="en-GB"/>
        </w:rPr>
        <w:t>The next remarks were about set C.</w:t>
      </w:r>
      <w:r w:rsidR="00B5651E">
        <w:rPr>
          <w:lang w:val="en-GB"/>
        </w:rPr>
        <w:t xml:space="preserve"> </w:t>
      </w:r>
      <w:proofErr w:type="spellStart"/>
      <w:r>
        <w:rPr>
          <w:lang w:val="en-GB"/>
        </w:rPr>
        <w:t>Saidah</w:t>
      </w:r>
      <w:proofErr w:type="spellEnd"/>
      <w:r>
        <w:rPr>
          <w:lang w:val="en-GB"/>
        </w:rPr>
        <w:t xml:space="preserve"> said that the first is not algebra because you can ‘just add three’.</w:t>
      </w:r>
      <w:r w:rsidR="00B5651E">
        <w:rPr>
          <w:lang w:val="en-GB"/>
        </w:rPr>
        <w:t xml:space="preserve"> </w:t>
      </w:r>
      <w:r>
        <w:rPr>
          <w:lang w:val="en-GB"/>
        </w:rPr>
        <w:t>The second is algebra because in order to find the 100</w:t>
      </w:r>
      <w:r w:rsidRPr="00F36085">
        <w:rPr>
          <w:vertAlign w:val="superscript"/>
          <w:lang w:val="en-GB"/>
        </w:rPr>
        <w:t>th</w:t>
      </w:r>
      <w:r>
        <w:rPr>
          <w:lang w:val="en-GB"/>
        </w:rPr>
        <w:t xml:space="preserve"> term you need to know how to find the nth term.</w:t>
      </w:r>
      <w:r w:rsidR="00B5651E">
        <w:rPr>
          <w:lang w:val="en-GB"/>
        </w:rPr>
        <w:t xml:space="preserve"> </w:t>
      </w:r>
    </w:p>
    <w:p w:rsidR="00AB517D" w:rsidRDefault="00AB517D" w:rsidP="00E42102">
      <w:pPr>
        <w:pStyle w:val="BlockQuote"/>
        <w:rPr>
          <w:lang w:val="en-GB"/>
        </w:rPr>
      </w:pPr>
      <w:r>
        <w:rPr>
          <w:lang w:val="en-GB"/>
        </w:rPr>
        <w:t>Tutor: If you do it by keeping on adding three is it algebra?</w:t>
      </w:r>
      <w:r w:rsidR="00B5651E">
        <w:rPr>
          <w:lang w:val="en-GB"/>
        </w:rPr>
        <w:t xml:space="preserve"> </w:t>
      </w:r>
      <w:r>
        <w:rPr>
          <w:lang w:val="en-GB"/>
        </w:rPr>
        <w:t>Or if you add 96 times three is that algebra?</w:t>
      </w:r>
    </w:p>
    <w:p w:rsidR="00924223" w:rsidRDefault="00AB517D" w:rsidP="00E42102">
      <w:pPr>
        <w:pStyle w:val="BlockQuote"/>
        <w:rPr>
          <w:lang w:val="en-GB"/>
        </w:rPr>
      </w:pPr>
      <w:proofErr w:type="spellStart"/>
      <w:r>
        <w:rPr>
          <w:lang w:val="en-GB"/>
        </w:rPr>
        <w:t>Madena</w:t>
      </w:r>
      <w:proofErr w:type="spellEnd"/>
      <w:r>
        <w:rPr>
          <w:lang w:val="en-GB"/>
        </w:rPr>
        <w:t>: It depends whether you see algebra in the structure or as something you do.</w:t>
      </w:r>
      <w:r w:rsidR="00B5651E">
        <w:rPr>
          <w:lang w:val="en-GB"/>
        </w:rPr>
        <w:t xml:space="preserve"> </w:t>
      </w:r>
      <w:r>
        <w:rPr>
          <w:lang w:val="en-GB"/>
        </w:rPr>
        <w:t>10</w:t>
      </w:r>
      <w:r>
        <w:rPr>
          <w:lang w:val="en-GB"/>
        </w:rPr>
        <w:sym w:font="Symbol" w:char="F0B4"/>
      </w:r>
      <w:r>
        <w:rPr>
          <w:lang w:val="en-GB"/>
        </w:rPr>
        <w:t>7+6</w:t>
      </w:r>
      <w:r>
        <w:rPr>
          <w:lang w:val="en-GB"/>
        </w:rPr>
        <w:sym w:font="Symbol" w:char="F0B4"/>
      </w:r>
      <w:r>
        <w:rPr>
          <w:lang w:val="en-GB"/>
        </w:rPr>
        <w:t>7 is algebra depending on what you focus on.</w:t>
      </w:r>
    </w:p>
    <w:p w:rsidR="00AB517D" w:rsidRDefault="00AB517D" w:rsidP="00E42102">
      <w:pPr>
        <w:pStyle w:val="BlockQuote"/>
        <w:rPr>
          <w:lang w:val="en-GB"/>
        </w:rPr>
      </w:pPr>
      <w:smartTag w:uri="urn:schemas-microsoft-com:office:smarttags" w:element="PersonName">
        <w:r>
          <w:rPr>
            <w:lang w:val="en-GB"/>
          </w:rPr>
          <w:t>David</w:t>
        </w:r>
      </w:smartTag>
      <w:r>
        <w:rPr>
          <w:lang w:val="en-GB"/>
        </w:rPr>
        <w:t>: If they are adding 96 times three they might just see it like that – it’s not necessarily algebra – it depends on what they do with what they see</w:t>
      </w:r>
    </w:p>
    <w:p w:rsidR="00AB517D" w:rsidRDefault="00AB517D" w:rsidP="00E42102">
      <w:pPr>
        <w:pStyle w:val="BlockQuote"/>
        <w:rPr>
          <w:lang w:val="en-GB"/>
        </w:rPr>
      </w:pPr>
      <w:r>
        <w:rPr>
          <w:lang w:val="en-GB"/>
        </w:rPr>
        <w:t>Tutor: So you mean that having structure is not enough.</w:t>
      </w:r>
      <w:r w:rsidR="00B5651E">
        <w:rPr>
          <w:lang w:val="en-GB"/>
        </w:rPr>
        <w:t xml:space="preserve"> </w:t>
      </w:r>
      <w:r>
        <w:rPr>
          <w:lang w:val="en-GB"/>
        </w:rPr>
        <w:t>Can you say a bit more?</w:t>
      </w:r>
    </w:p>
    <w:p w:rsidR="00AB517D" w:rsidRDefault="00AB517D" w:rsidP="00E42102">
      <w:pPr>
        <w:pStyle w:val="BlockQuote"/>
        <w:rPr>
          <w:lang w:val="en-GB"/>
        </w:rPr>
      </w:pPr>
      <w:smartTag w:uri="urn:schemas-microsoft-com:office:smarttags" w:element="PersonName">
        <w:r>
          <w:rPr>
            <w:lang w:val="en-GB"/>
          </w:rPr>
          <w:t>David</w:t>
        </w:r>
      </w:smartTag>
      <w:r>
        <w:rPr>
          <w:lang w:val="en-GB"/>
        </w:rPr>
        <w:t>: Algebra is about letters, unknowns, generalising, so for me the nth term is algebra, but not the 100</w:t>
      </w:r>
      <w:r w:rsidRPr="0027574B">
        <w:rPr>
          <w:vertAlign w:val="superscript"/>
          <w:lang w:val="en-GB"/>
        </w:rPr>
        <w:t>th</w:t>
      </w:r>
      <w:r>
        <w:rPr>
          <w:lang w:val="en-GB"/>
        </w:rPr>
        <w:t xml:space="preserve"> term.</w:t>
      </w:r>
    </w:p>
    <w:p w:rsidR="00675F27" w:rsidRDefault="00AB517D" w:rsidP="00E42102">
      <w:pPr>
        <w:pStyle w:val="BlockQuote"/>
        <w:rPr>
          <w:lang w:val="en-GB"/>
        </w:rPr>
      </w:pPr>
      <w:r>
        <w:rPr>
          <w:lang w:val="en-GB"/>
        </w:rPr>
        <w:t xml:space="preserve">Tutor: You are talking about how they </w:t>
      </w:r>
      <w:r w:rsidRPr="0027574B">
        <w:rPr>
          <w:u w:val="single"/>
          <w:lang w:val="en-GB"/>
        </w:rPr>
        <w:t>express</w:t>
      </w:r>
      <w:r>
        <w:rPr>
          <w:lang w:val="en-GB"/>
        </w:rPr>
        <w:t xml:space="preserve"> the generality.</w:t>
      </w:r>
      <w:r w:rsidR="00B5651E">
        <w:rPr>
          <w:lang w:val="en-GB"/>
        </w:rPr>
        <w:t xml:space="preserve"> </w:t>
      </w:r>
      <w:r>
        <w:rPr>
          <w:lang w:val="en-GB"/>
        </w:rPr>
        <w:t>Would the person who says that you add 96 times three be able to give the 102</w:t>
      </w:r>
      <w:r w:rsidRPr="0027574B">
        <w:rPr>
          <w:vertAlign w:val="superscript"/>
          <w:lang w:val="en-GB"/>
        </w:rPr>
        <w:t>nd</w:t>
      </w:r>
      <w:r>
        <w:rPr>
          <w:lang w:val="en-GB"/>
        </w:rPr>
        <w:t xml:space="preserve"> term or the 99</w:t>
      </w:r>
      <w:r w:rsidRPr="0027574B">
        <w:rPr>
          <w:vertAlign w:val="superscript"/>
          <w:lang w:val="en-GB"/>
        </w:rPr>
        <w:t>th</w:t>
      </w:r>
      <w:r>
        <w:rPr>
          <w:lang w:val="en-GB"/>
        </w:rPr>
        <w:t>?</w:t>
      </w:r>
      <w:r w:rsidR="00B5651E">
        <w:rPr>
          <w:lang w:val="en-GB"/>
        </w:rPr>
        <w:t xml:space="preserve"> </w:t>
      </w:r>
      <w:r>
        <w:rPr>
          <w:lang w:val="en-GB"/>
        </w:rPr>
        <w:t xml:space="preserve">This is a test of whether they </w:t>
      </w:r>
      <w:r w:rsidRPr="0027574B">
        <w:rPr>
          <w:u w:val="single"/>
          <w:lang w:val="en-GB"/>
        </w:rPr>
        <w:t>see</w:t>
      </w:r>
      <w:r>
        <w:rPr>
          <w:lang w:val="en-GB"/>
        </w:rPr>
        <w:t xml:space="preserve"> the generality?</w:t>
      </w:r>
    </w:p>
    <w:p w:rsidR="00675F27" w:rsidRDefault="00AB517D" w:rsidP="00726AED">
      <w:pPr>
        <w:rPr>
          <w:lang w:val="en-GB"/>
        </w:rPr>
      </w:pPr>
      <w:r>
        <w:rPr>
          <w:lang w:val="en-GB"/>
        </w:rPr>
        <w:t>In discussion of the ‘word problems’ (row D) Alastair said ‘the one you can “undo” is not algebra’.</w:t>
      </w:r>
      <w:r w:rsidR="00B5651E">
        <w:rPr>
          <w:lang w:val="en-GB"/>
        </w:rPr>
        <w:t xml:space="preserve"> </w:t>
      </w:r>
      <w:proofErr w:type="spellStart"/>
      <w:r>
        <w:rPr>
          <w:lang w:val="en-GB"/>
        </w:rPr>
        <w:t>Madena</w:t>
      </w:r>
      <w:proofErr w:type="spellEnd"/>
      <w:r>
        <w:rPr>
          <w:lang w:val="en-GB"/>
        </w:rPr>
        <w:t xml:space="preserve"> added that writing down the expression (perhaps as a function machine) is the same thing as doing it in your head.</w:t>
      </w:r>
      <w:r w:rsidR="00B5651E">
        <w:rPr>
          <w:lang w:val="en-GB"/>
        </w:rPr>
        <w:t xml:space="preserve"> </w:t>
      </w:r>
      <w:r>
        <w:rPr>
          <w:lang w:val="en-GB"/>
        </w:rPr>
        <w:t>In the continuing discussion we agreed that neither of the problems ‘is algebra’ but that algebra provides methods to solve either of them.</w:t>
      </w:r>
      <w:r w:rsidR="00B5651E">
        <w:rPr>
          <w:lang w:val="en-GB"/>
        </w:rPr>
        <w:t xml:space="preserve"> </w:t>
      </w:r>
    </w:p>
    <w:p w:rsidR="00675F27" w:rsidRDefault="00AB517D" w:rsidP="00726AED">
      <w:pPr>
        <w:rPr>
          <w:lang w:val="en-GB"/>
        </w:rPr>
      </w:pPr>
      <w:r>
        <w:rPr>
          <w:lang w:val="en-GB"/>
        </w:rPr>
        <w:t>The discussion of E was curtailed by shortage of time, only allowing for a brief mention of the difference between using a ‘label’ consciously or unconsciously.</w:t>
      </w:r>
    </w:p>
    <w:p w:rsidR="00675F27" w:rsidRDefault="00AB517D" w:rsidP="00726AED">
      <w:pPr>
        <w:rPr>
          <w:lang w:val="en-GB"/>
        </w:rPr>
      </w:pPr>
      <w:r>
        <w:rPr>
          <w:lang w:val="en-GB"/>
        </w:rPr>
        <w:t xml:space="preserve">Later in the same session </w:t>
      </w:r>
      <w:r w:rsidR="00C71694">
        <w:rPr>
          <w:lang w:val="en-GB"/>
        </w:rPr>
        <w:t xml:space="preserve">our </w:t>
      </w:r>
      <w:r>
        <w:rPr>
          <w:lang w:val="en-GB"/>
        </w:rPr>
        <w:t>students were offered experiences through which to consider the differences between uses of letters as unknowns, variables and generalised numbers.</w:t>
      </w:r>
      <w:r w:rsidR="00B5651E">
        <w:rPr>
          <w:lang w:val="en-GB"/>
        </w:rPr>
        <w:t xml:space="preserve"> </w:t>
      </w:r>
      <w:r>
        <w:rPr>
          <w:lang w:val="en-GB"/>
        </w:rPr>
        <w:t>They also were introduced to the six uses of letters identified by Kuchemann (1981)</w:t>
      </w:r>
      <w:r w:rsidR="00924223">
        <w:rPr>
          <w:rStyle w:val="FootnoteReference"/>
          <w:lang w:val="en-GB"/>
        </w:rPr>
        <w:footnoteReference w:id="2"/>
      </w:r>
      <w:r>
        <w:rPr>
          <w:lang w:val="en-GB"/>
        </w:rPr>
        <w:t xml:space="preserve">, to research on understanding of the ‘equals’ sign and to </w:t>
      </w:r>
      <w:r w:rsidR="007262AF">
        <w:rPr>
          <w:lang w:val="en-GB"/>
        </w:rPr>
        <w:t xml:space="preserve">Gray </w:t>
      </w:r>
      <w:r>
        <w:rPr>
          <w:lang w:val="en-GB"/>
        </w:rPr>
        <w:t xml:space="preserve">and </w:t>
      </w:r>
      <w:r w:rsidR="007262AF">
        <w:rPr>
          <w:lang w:val="en-GB"/>
        </w:rPr>
        <w:t>Tall’</w:t>
      </w:r>
      <w:r>
        <w:rPr>
          <w:lang w:val="en-GB"/>
        </w:rPr>
        <w:t>s (19</w:t>
      </w:r>
      <w:r w:rsidR="007262AF">
        <w:rPr>
          <w:lang w:val="en-GB"/>
        </w:rPr>
        <w:t>94</w:t>
      </w:r>
      <w:r>
        <w:rPr>
          <w:lang w:val="en-GB"/>
        </w:rPr>
        <w:t>) notion of ‘</w:t>
      </w:r>
      <w:proofErr w:type="spellStart"/>
      <w:r>
        <w:rPr>
          <w:lang w:val="en-GB"/>
        </w:rPr>
        <w:t>procept</w:t>
      </w:r>
      <w:proofErr w:type="spellEnd"/>
      <w:r>
        <w:rPr>
          <w:lang w:val="en-GB"/>
        </w:rPr>
        <w:t>’.</w:t>
      </w:r>
      <w:r w:rsidR="00B5651E">
        <w:rPr>
          <w:lang w:val="en-GB"/>
        </w:rPr>
        <w:t xml:space="preserve"> </w:t>
      </w:r>
      <w:r>
        <w:rPr>
          <w:lang w:val="en-GB"/>
        </w:rPr>
        <w:t xml:space="preserve">The next day was spent considering some curriculum materials for teaching and </w:t>
      </w:r>
      <w:r>
        <w:rPr>
          <w:lang w:val="en-GB"/>
        </w:rPr>
        <w:lastRenderedPageBreak/>
        <w:t>learning</w:t>
      </w:r>
      <w:r w:rsidR="00924223" w:rsidRPr="00924223">
        <w:rPr>
          <w:lang w:val="en-GB"/>
        </w:rPr>
        <w:t xml:space="preserve"> </w:t>
      </w:r>
      <w:r w:rsidR="00924223">
        <w:rPr>
          <w:lang w:val="en-GB"/>
        </w:rPr>
        <w:t>algebra</w:t>
      </w:r>
      <w:r w:rsidR="00C71694">
        <w:rPr>
          <w:lang w:val="en-GB"/>
        </w:rPr>
        <w:t>.</w:t>
      </w:r>
      <w:r w:rsidR="00B5651E">
        <w:rPr>
          <w:lang w:val="en-GB"/>
        </w:rPr>
        <w:t xml:space="preserve"> </w:t>
      </w:r>
      <w:r w:rsidR="00C71694">
        <w:rPr>
          <w:lang w:val="en-GB"/>
        </w:rPr>
        <w:t>They</w:t>
      </w:r>
      <w:r>
        <w:rPr>
          <w:lang w:val="en-GB"/>
        </w:rPr>
        <w:t xml:space="preserve"> were asked to work in groups to comment on the materials using the mathematical distinctions they had developed the previous day.</w:t>
      </w:r>
    </w:p>
    <w:p w:rsidR="00675F27" w:rsidRDefault="00AB517D" w:rsidP="00C71694">
      <w:pPr>
        <w:rPr>
          <w:lang w:val="en-GB"/>
        </w:rPr>
      </w:pPr>
      <w:r>
        <w:rPr>
          <w:lang w:val="en-GB"/>
        </w:rPr>
        <w:t xml:space="preserve">The main intention of the card sorting activity described above was to broaden the </w:t>
      </w:r>
      <w:r w:rsidR="00C71694">
        <w:rPr>
          <w:lang w:val="en-GB"/>
        </w:rPr>
        <w:t>prospective teachers</w:t>
      </w:r>
      <w:r>
        <w:rPr>
          <w:lang w:val="en-GB"/>
        </w:rPr>
        <w:t>’ understanding of what might be meant by algebra.</w:t>
      </w:r>
      <w:r w:rsidR="00B5651E">
        <w:rPr>
          <w:lang w:val="en-GB"/>
        </w:rPr>
        <w:t xml:space="preserve"> </w:t>
      </w:r>
      <w:proofErr w:type="spellStart"/>
      <w:r>
        <w:rPr>
          <w:lang w:val="en-GB"/>
        </w:rPr>
        <w:t>Madena</w:t>
      </w:r>
      <w:proofErr w:type="spellEnd"/>
      <w:r>
        <w:rPr>
          <w:lang w:val="en-GB"/>
        </w:rPr>
        <w:t xml:space="preserve"> and </w:t>
      </w:r>
      <w:smartTag w:uri="urn:schemas-microsoft-com:office:smarttags" w:element="PersonName">
        <w:r>
          <w:rPr>
            <w:lang w:val="en-GB"/>
          </w:rPr>
          <w:t>David</w:t>
        </w:r>
      </w:smartTag>
      <w:r>
        <w:rPr>
          <w:lang w:val="en-GB"/>
        </w:rPr>
        <w:t xml:space="preserve"> present</w:t>
      </w:r>
      <w:r w:rsidR="00924223">
        <w:rPr>
          <w:lang w:val="en-GB"/>
        </w:rPr>
        <w:t>ed</w:t>
      </w:r>
      <w:r>
        <w:rPr>
          <w:lang w:val="en-GB"/>
        </w:rPr>
        <w:t xml:space="preserve"> two points of view, namely that algebra (at least at school) is about manipulation of expressions involving letters and that expression using letters is the distinguishing feature of algebraic activity.</w:t>
      </w:r>
      <w:r w:rsidR="00B5651E">
        <w:rPr>
          <w:lang w:val="en-GB"/>
        </w:rPr>
        <w:t xml:space="preserve"> </w:t>
      </w:r>
      <w:r>
        <w:rPr>
          <w:lang w:val="en-GB"/>
        </w:rPr>
        <w:t>During the discussion these ideas were explicitly challenged by several assertions that algebra is not what is written, but the way in which we think about what is written.</w:t>
      </w:r>
      <w:r w:rsidR="00B5651E">
        <w:rPr>
          <w:lang w:val="en-GB"/>
        </w:rPr>
        <w:t xml:space="preserve"> </w:t>
      </w:r>
      <w:r>
        <w:rPr>
          <w:lang w:val="en-GB"/>
        </w:rPr>
        <w:t>The idea that the structure of a problem, relationships between quantities</w:t>
      </w:r>
      <w:r w:rsidR="00C71694">
        <w:rPr>
          <w:lang w:val="en-GB"/>
        </w:rPr>
        <w:t>,</w:t>
      </w:r>
      <w:r>
        <w:rPr>
          <w:lang w:val="en-GB"/>
        </w:rPr>
        <w:t xml:space="preserve"> and generalisation</w:t>
      </w:r>
      <w:r w:rsidR="00C71694">
        <w:rPr>
          <w:lang w:val="en-GB"/>
        </w:rPr>
        <w:t>,</w:t>
      </w:r>
      <w:r>
        <w:rPr>
          <w:lang w:val="en-GB"/>
        </w:rPr>
        <w:t xml:space="preserve"> can be the drivers for algebr</w:t>
      </w:r>
      <w:r w:rsidR="00C71694">
        <w:rPr>
          <w:lang w:val="en-GB"/>
        </w:rPr>
        <w:t>a was made available</w:t>
      </w:r>
      <w:r>
        <w:rPr>
          <w:lang w:val="en-GB"/>
        </w:rPr>
        <w:t>.</w:t>
      </w:r>
      <w:r w:rsidR="00B5651E">
        <w:rPr>
          <w:lang w:val="en-GB"/>
        </w:rPr>
        <w:t xml:space="preserve"> </w:t>
      </w:r>
      <w:r>
        <w:rPr>
          <w:lang w:val="en-GB"/>
        </w:rPr>
        <w:t>In addition common mathematical experiences were offered from which a language of d</w:t>
      </w:r>
      <w:r w:rsidR="00C71694">
        <w:rPr>
          <w:lang w:val="en-GB"/>
        </w:rPr>
        <w:t>istinctions could be derived.</w:t>
      </w:r>
      <w:r w:rsidR="00B5651E">
        <w:rPr>
          <w:lang w:val="en-GB"/>
        </w:rPr>
        <w:t xml:space="preserve"> </w:t>
      </w:r>
      <w:r w:rsidR="00C71694">
        <w:rPr>
          <w:lang w:val="en-GB"/>
        </w:rPr>
        <w:t>Our s</w:t>
      </w:r>
      <w:r>
        <w:rPr>
          <w:lang w:val="en-GB"/>
        </w:rPr>
        <w:t>tudents were also offered another opportunity to experience the usefulness of looking for similarity and difference between mathematical entities.</w:t>
      </w:r>
    </w:p>
    <w:p w:rsidR="00675F27" w:rsidRDefault="00924223" w:rsidP="00F23C07">
      <w:pPr>
        <w:pStyle w:val="Heading1"/>
        <w:numPr>
          <w:ilvl w:val="0"/>
          <w:numId w:val="0"/>
        </w:numPr>
        <w:ind w:left="900" w:hanging="900"/>
        <w:rPr>
          <w:lang w:val="en-GB"/>
        </w:rPr>
      </w:pPr>
      <w:r>
        <w:rPr>
          <w:lang w:val="en-GB"/>
        </w:rPr>
        <w:t>Coda</w:t>
      </w:r>
    </w:p>
    <w:p w:rsidR="00675F27" w:rsidRDefault="00924223" w:rsidP="00726AED">
      <w:pPr>
        <w:rPr>
          <w:lang w:val="en-GB"/>
        </w:rPr>
      </w:pPr>
      <w:r>
        <w:rPr>
          <w:lang w:val="en-GB"/>
        </w:rPr>
        <w:t>The three examples abo</w:t>
      </w:r>
      <w:r w:rsidRPr="00924223">
        <w:rPr>
          <w:lang w:val="en-GB"/>
        </w:rPr>
        <w:t>ve illustrate our general approach to using mathematical tasks to promote complex thought about what it means to do and learn mathematics.</w:t>
      </w:r>
      <w:r>
        <w:rPr>
          <w:lang w:val="en-GB"/>
        </w:rPr>
        <w:t xml:space="preserve"> Because this approach is sustained by us throughout our teaching, </w:t>
      </w:r>
      <w:r w:rsidR="00C71694">
        <w:rPr>
          <w:lang w:val="en-GB"/>
        </w:rPr>
        <w:t>prospective teachers</w:t>
      </w:r>
      <w:r>
        <w:rPr>
          <w:lang w:val="en-GB"/>
        </w:rPr>
        <w:t xml:space="preserve"> are being </w:t>
      </w:r>
      <w:proofErr w:type="spellStart"/>
      <w:r>
        <w:rPr>
          <w:lang w:val="en-GB"/>
        </w:rPr>
        <w:t>enculturated</w:t>
      </w:r>
      <w:proofErr w:type="spellEnd"/>
      <w:r>
        <w:rPr>
          <w:lang w:val="en-GB"/>
        </w:rPr>
        <w:t xml:space="preserve"> into ways of thinking about teaching mathematics which persist</w:t>
      </w:r>
      <w:r w:rsidR="003F57BB">
        <w:rPr>
          <w:lang w:val="en-GB"/>
        </w:rPr>
        <w:t>, by and large,</w:t>
      </w:r>
      <w:r>
        <w:rPr>
          <w:lang w:val="en-GB"/>
        </w:rPr>
        <w:t xml:space="preserve"> when they are in school. At the start of our </w:t>
      </w:r>
      <w:r w:rsidR="00C71694">
        <w:rPr>
          <w:lang w:val="en-GB"/>
        </w:rPr>
        <w:t>course, it is usual for them</w:t>
      </w:r>
      <w:r>
        <w:rPr>
          <w:lang w:val="en-GB"/>
        </w:rPr>
        <w:t xml:space="preserve"> to want to exchange stories about what they have seen teachers and learners doing in school, whatever the task we give them and whatever we hoped the focus would be. By offering tasks organised to challenge their own instant responses</w:t>
      </w:r>
      <w:r w:rsidR="00872A7A">
        <w:rPr>
          <w:lang w:val="en-GB"/>
        </w:rPr>
        <w:t>, we support the development of habits of probing mathematical meaning as the starting point for thinking about teaching, rather than trawling memory for associated stories.</w:t>
      </w:r>
    </w:p>
    <w:p w:rsidR="00E42102" w:rsidRDefault="00872A7A" w:rsidP="00726AED">
      <w:pPr>
        <w:rPr>
          <w:lang w:val="en-GB"/>
        </w:rPr>
      </w:pPr>
      <w:r>
        <w:rPr>
          <w:lang w:val="en-GB"/>
        </w:rPr>
        <w:t xml:space="preserve">We are not claiming that all our students sustain this approach all the time – that would be too hard. However, when we observe </w:t>
      </w:r>
      <w:r w:rsidR="00C71694">
        <w:rPr>
          <w:lang w:val="en-GB"/>
        </w:rPr>
        <w:t>them</w:t>
      </w:r>
      <w:r>
        <w:rPr>
          <w:lang w:val="en-GB"/>
        </w:rPr>
        <w:t xml:space="preserve"> </w:t>
      </w:r>
      <w:r w:rsidR="00C71694">
        <w:rPr>
          <w:lang w:val="en-GB"/>
        </w:rPr>
        <w:t xml:space="preserve">teaching in school and ask </w:t>
      </w:r>
      <w:r>
        <w:rPr>
          <w:lang w:val="en-GB"/>
        </w:rPr>
        <w:t xml:space="preserve">about their planning and in-the-moment decisions it is clear that the majority start from wondering about how </w:t>
      </w:r>
      <w:r w:rsidR="00C71694">
        <w:rPr>
          <w:lang w:val="en-GB"/>
        </w:rPr>
        <w:t xml:space="preserve">their </w:t>
      </w:r>
      <w:r>
        <w:rPr>
          <w:lang w:val="en-GB"/>
        </w:rPr>
        <w:t>students are going to learn and structuring what they do to support this, rather than adopting ‘tricks of the trade’.</w:t>
      </w:r>
      <w:r w:rsidR="003F57BB">
        <w:rPr>
          <w:lang w:val="en-GB"/>
        </w:rPr>
        <w:t xml:space="preserve"> We have little knowledge about how many of them sustain this once they are in their first posts, but we do know that in some of our partnership schools the culture of the mathematics department is to think first about learning, and then about tasks, sequences of tasks and ‘coverage’. </w:t>
      </w:r>
    </w:p>
    <w:p w:rsidR="00675F27" w:rsidRDefault="00D977A5" w:rsidP="00F23C07">
      <w:pPr>
        <w:pStyle w:val="Heading1"/>
        <w:numPr>
          <w:ilvl w:val="0"/>
          <w:numId w:val="0"/>
        </w:numPr>
        <w:ind w:left="900" w:hanging="900"/>
        <w:rPr>
          <w:lang w:val="en-GB"/>
        </w:rPr>
      </w:pPr>
      <w:r w:rsidRPr="00A23A00">
        <w:rPr>
          <w:lang w:val="en-GB"/>
        </w:rPr>
        <w:lastRenderedPageBreak/>
        <w:t>References</w:t>
      </w:r>
    </w:p>
    <w:p w:rsidR="00675F27" w:rsidRDefault="009F694B" w:rsidP="00B4704D">
      <w:pPr>
        <w:pStyle w:val="References"/>
      </w:pPr>
      <w:r>
        <w:t>Furlong, J., B</w:t>
      </w:r>
      <w:r w:rsidRPr="003F57BB">
        <w:t xml:space="preserve">arton, L., Miles, S., Whiting, C. &amp; </w:t>
      </w:r>
      <w:proofErr w:type="spellStart"/>
      <w:r w:rsidRPr="003F57BB">
        <w:t>Whitty</w:t>
      </w:r>
      <w:proofErr w:type="spellEnd"/>
      <w:r w:rsidRPr="003F57BB">
        <w:t xml:space="preserve">, G. (2000) </w:t>
      </w:r>
      <w:r w:rsidRPr="003F57BB">
        <w:rPr>
          <w:i/>
        </w:rPr>
        <w:t>Teacher education in transition: r</w:t>
      </w:r>
      <w:r>
        <w:rPr>
          <w:i/>
        </w:rPr>
        <w:t>e</w:t>
      </w:r>
      <w:r w:rsidRPr="003F57BB">
        <w:rPr>
          <w:i/>
        </w:rPr>
        <w:t xml:space="preserve">-forming professionalism? </w:t>
      </w:r>
      <w:r w:rsidRPr="003F57BB">
        <w:t xml:space="preserve">Buckingham: </w:t>
      </w:r>
      <w:r w:rsidR="007E010A">
        <w:t>O</w:t>
      </w:r>
      <w:r w:rsidRPr="003F57BB">
        <w:t>pen University Press.</w:t>
      </w:r>
    </w:p>
    <w:p w:rsidR="00675F27" w:rsidRDefault="007262AF" w:rsidP="00B4704D">
      <w:pPr>
        <w:pStyle w:val="References"/>
        <w:rPr>
          <w:color w:val="000025"/>
        </w:rPr>
      </w:pPr>
      <w:r w:rsidRPr="007262AF">
        <w:rPr>
          <w:color w:val="000025"/>
        </w:rPr>
        <w:t xml:space="preserve">Gray, E., &amp; Tall, D. (1994). </w:t>
      </w:r>
      <w:r w:rsidR="007E010A">
        <w:rPr>
          <w:color w:val="000025"/>
        </w:rPr>
        <w:t>“</w:t>
      </w:r>
      <w:r w:rsidRPr="007262AF">
        <w:rPr>
          <w:color w:val="000025"/>
        </w:rPr>
        <w:t xml:space="preserve">Duality, ambiguity, and flexibility: A </w:t>
      </w:r>
      <w:proofErr w:type="spellStart"/>
      <w:r w:rsidRPr="007262AF">
        <w:rPr>
          <w:color w:val="000025"/>
        </w:rPr>
        <w:t>proceptual</w:t>
      </w:r>
      <w:proofErr w:type="spellEnd"/>
      <w:r w:rsidRPr="007262AF">
        <w:rPr>
          <w:color w:val="000025"/>
        </w:rPr>
        <w:t xml:space="preserve"> view of simple arithmetic</w:t>
      </w:r>
      <w:r w:rsidR="007E010A">
        <w:rPr>
          <w:color w:val="000025"/>
        </w:rPr>
        <w:t>”</w:t>
      </w:r>
      <w:r w:rsidRPr="007262AF">
        <w:rPr>
          <w:color w:val="000025"/>
        </w:rPr>
        <w:t xml:space="preserve">. </w:t>
      </w:r>
      <w:r w:rsidRPr="007262AF">
        <w:rPr>
          <w:i/>
          <w:iCs/>
          <w:color w:val="000025"/>
        </w:rPr>
        <w:t>Journal for Research in Mathematics Education</w:t>
      </w:r>
      <w:r w:rsidRPr="007262AF">
        <w:rPr>
          <w:color w:val="000025"/>
        </w:rPr>
        <w:t>, 25, 116–140.</w:t>
      </w:r>
    </w:p>
    <w:p w:rsidR="00675F27" w:rsidRDefault="006610E6" w:rsidP="00B4704D">
      <w:pPr>
        <w:pStyle w:val="References"/>
        <w:rPr>
          <w:color w:val="000025"/>
        </w:rPr>
      </w:pPr>
      <w:smartTag w:uri="urn:schemas-microsoft-com:office:smarttags" w:element="place">
        <w:smartTag w:uri="urn:schemas-microsoft-com:office:smarttags" w:element="City">
          <w:r w:rsidRPr="006610E6">
            <w:rPr>
              <w:color w:val="000025"/>
            </w:rPr>
            <w:t>Griffin</w:t>
          </w:r>
        </w:smartTag>
      </w:smartTag>
      <w:r w:rsidRPr="006610E6">
        <w:rPr>
          <w:color w:val="000025"/>
        </w:rPr>
        <w:t xml:space="preserve">, P., &amp; Gates, P. (1989). </w:t>
      </w:r>
      <w:r w:rsidRPr="006610E6">
        <w:rPr>
          <w:i/>
          <w:iCs/>
          <w:color w:val="000025"/>
        </w:rPr>
        <w:t>Project Mathematics UPDATE: PM753A Preparing to teach angle</w:t>
      </w:r>
      <w:r w:rsidRPr="006610E6">
        <w:rPr>
          <w:color w:val="000025"/>
        </w:rPr>
        <w:t xml:space="preserve">. </w:t>
      </w:r>
      <w:smartTag w:uri="urn:schemas-microsoft-com:office:smarttags" w:element="place">
        <w:smartTag w:uri="urn:schemas-microsoft-com:office:smarttags" w:element="City">
          <w:r w:rsidRPr="006610E6">
            <w:rPr>
              <w:color w:val="000025"/>
            </w:rPr>
            <w:t>Milton Keynes</w:t>
          </w:r>
        </w:smartTag>
        <w:r w:rsidRPr="006610E6">
          <w:rPr>
            <w:color w:val="000025"/>
          </w:rPr>
          <w:t xml:space="preserve">, </w:t>
        </w:r>
        <w:smartTag w:uri="urn:schemas-microsoft-com:office:smarttags" w:element="country-region">
          <w:r w:rsidRPr="006610E6">
            <w:rPr>
              <w:color w:val="000025"/>
            </w:rPr>
            <w:t>UK</w:t>
          </w:r>
        </w:smartTag>
      </w:smartTag>
      <w:r w:rsidRPr="006610E6">
        <w:rPr>
          <w:color w:val="000025"/>
        </w:rPr>
        <w:t>: Open University.</w:t>
      </w:r>
    </w:p>
    <w:p w:rsidR="00FC1B1E" w:rsidRDefault="0029416C" w:rsidP="00B4704D">
      <w:pPr>
        <w:pStyle w:val="References"/>
        <w:rPr>
          <w:color w:val="000025"/>
        </w:rPr>
      </w:pPr>
      <w:r>
        <w:rPr>
          <w:color w:val="000025"/>
        </w:rPr>
        <w:t>Küchemann, D. E.</w:t>
      </w:r>
      <w:r w:rsidR="00FC1B1E" w:rsidRPr="00FC1B1E">
        <w:rPr>
          <w:color w:val="000025"/>
        </w:rPr>
        <w:t xml:space="preserve"> </w:t>
      </w:r>
      <w:r>
        <w:rPr>
          <w:color w:val="000025"/>
        </w:rPr>
        <w:t>(1981),</w:t>
      </w:r>
      <w:r w:rsidR="00FC1B1E" w:rsidRPr="00FC1B1E">
        <w:rPr>
          <w:color w:val="000025"/>
        </w:rPr>
        <w:t xml:space="preserve"> </w:t>
      </w:r>
      <w:r w:rsidR="009E484F">
        <w:rPr>
          <w:noProof/>
          <w:color w:val="000025"/>
          <w:lang w:val="en-GB" w:eastAsia="en-GB"/>
        </w:rPr>
        <w:drawing>
          <wp:inline distT="0" distB="0" distL="0" distR="0">
            <wp:extent cx="60960" cy="121920"/>
            <wp:effectExtent l="19050" t="0" r="0" b="0"/>
            <wp:docPr id="18" name="Picture 18" descr="lsqu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squo"/>
                    <pic:cNvPicPr>
                      <a:picLocks noChangeAspect="1" noChangeArrowheads="1"/>
                    </pic:cNvPicPr>
                  </pic:nvPicPr>
                  <pic:blipFill>
                    <a:blip r:embed="rId44" cstate="print"/>
                    <a:srcRect/>
                    <a:stretch>
                      <a:fillRect/>
                    </a:stretch>
                  </pic:blipFill>
                  <pic:spPr bwMode="auto">
                    <a:xfrm>
                      <a:off x="0" y="0"/>
                      <a:ext cx="60960" cy="121920"/>
                    </a:xfrm>
                    <a:prstGeom prst="rect">
                      <a:avLst/>
                    </a:prstGeom>
                    <a:noFill/>
                    <a:ln w="9525">
                      <a:noFill/>
                      <a:miter lim="800000"/>
                      <a:headEnd/>
                      <a:tailEnd/>
                    </a:ln>
                  </pic:spPr>
                </pic:pic>
              </a:graphicData>
            </a:graphic>
          </wp:inline>
        </w:drawing>
      </w:r>
      <w:r w:rsidR="00FC1B1E" w:rsidRPr="00FC1B1E">
        <w:rPr>
          <w:color w:val="000025"/>
        </w:rPr>
        <w:t>Algebra</w:t>
      </w:r>
      <w:r w:rsidR="009E484F">
        <w:rPr>
          <w:noProof/>
          <w:color w:val="000025"/>
          <w:lang w:val="en-GB" w:eastAsia="en-GB"/>
        </w:rPr>
        <w:drawing>
          <wp:inline distT="0" distB="0" distL="0" distR="0">
            <wp:extent cx="60960" cy="121920"/>
            <wp:effectExtent l="19050" t="0" r="0" b="0"/>
            <wp:docPr id="19" name="Picture 19" descr="rsqu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squo"/>
                    <pic:cNvPicPr>
                      <a:picLocks noChangeAspect="1" noChangeArrowheads="1"/>
                    </pic:cNvPicPr>
                  </pic:nvPicPr>
                  <pic:blipFill>
                    <a:blip r:embed="rId45" cstate="print"/>
                    <a:srcRect/>
                    <a:stretch>
                      <a:fillRect/>
                    </a:stretch>
                  </pic:blipFill>
                  <pic:spPr bwMode="auto">
                    <a:xfrm>
                      <a:off x="0" y="0"/>
                      <a:ext cx="60960" cy="121920"/>
                    </a:xfrm>
                    <a:prstGeom prst="rect">
                      <a:avLst/>
                    </a:prstGeom>
                    <a:noFill/>
                    <a:ln w="9525">
                      <a:noFill/>
                      <a:miter lim="800000"/>
                      <a:headEnd/>
                      <a:tailEnd/>
                    </a:ln>
                  </pic:spPr>
                </pic:pic>
              </a:graphicData>
            </a:graphic>
          </wp:inline>
        </w:drawing>
      </w:r>
      <w:r w:rsidR="00FC1B1E" w:rsidRPr="00FC1B1E">
        <w:rPr>
          <w:color w:val="000025"/>
        </w:rPr>
        <w:t>, in K. M. Hart (ed.),</w:t>
      </w:r>
      <w:r w:rsidR="00FC1B1E" w:rsidRPr="00FC1B1E">
        <w:rPr>
          <w:i/>
          <w:iCs/>
          <w:color w:val="000025"/>
        </w:rPr>
        <w:t>Children's Understanding of Mathematics: 11–16</w:t>
      </w:r>
      <w:r w:rsidR="00FC1B1E" w:rsidRPr="00FC1B1E">
        <w:rPr>
          <w:color w:val="000025"/>
        </w:rPr>
        <w:t>, John Murray, pp. 102–119.</w:t>
      </w:r>
    </w:p>
    <w:p w:rsidR="001A41F6" w:rsidRDefault="001A41F6" w:rsidP="00B4704D">
      <w:pPr>
        <w:pStyle w:val="References"/>
      </w:pPr>
      <w:r w:rsidRPr="003F57BB">
        <w:t>McIntyre, D., Hagger, H., &amp; Burn, K. (1994).</w:t>
      </w:r>
      <w:r w:rsidRPr="003F57BB">
        <w:rPr>
          <w:i/>
        </w:rPr>
        <w:t xml:space="preserve"> The management of student teachers' learning. </w:t>
      </w:r>
      <w:smartTag w:uri="urn:schemas-microsoft-com:office:smarttags" w:element="City">
        <w:smartTag w:uri="urn:schemas-microsoft-com:office:smarttags" w:element="place">
          <w:r w:rsidRPr="003F57BB">
            <w:t>London</w:t>
          </w:r>
        </w:smartTag>
      </w:smartTag>
      <w:r w:rsidRPr="003F57BB">
        <w:t xml:space="preserve">: </w:t>
      </w:r>
      <w:proofErr w:type="spellStart"/>
      <w:r w:rsidRPr="003F57BB">
        <w:t>Kogan</w:t>
      </w:r>
      <w:proofErr w:type="spellEnd"/>
      <w:r w:rsidRPr="003F57BB">
        <w:t xml:space="preserve"> Page.</w:t>
      </w:r>
      <w:bookmarkStart w:id="0" w:name=""/>
      <w:bookmarkEnd w:id="0"/>
    </w:p>
    <w:p w:rsidR="00675F27" w:rsidRDefault="009F694B" w:rsidP="00B4704D">
      <w:pPr>
        <w:pStyle w:val="References"/>
      </w:pPr>
      <w:r>
        <w:t xml:space="preserve">Mason, J. </w:t>
      </w:r>
      <w:r w:rsidR="0029416C">
        <w:t>(</w:t>
      </w:r>
      <w:r>
        <w:t>2002</w:t>
      </w:r>
      <w:r w:rsidR="0029416C">
        <w:t xml:space="preserve">), </w:t>
      </w:r>
      <w:r w:rsidRPr="0097451A">
        <w:rPr>
          <w:i/>
        </w:rPr>
        <w:t>Mathematics Teaching Practice: a guide for university and college lecturers</w:t>
      </w:r>
      <w:r>
        <w:t xml:space="preserve">, </w:t>
      </w:r>
      <w:proofErr w:type="spellStart"/>
      <w:r>
        <w:t>Horwood</w:t>
      </w:r>
      <w:proofErr w:type="spellEnd"/>
      <w:r>
        <w:t xml:space="preserve"> Publishing, </w:t>
      </w:r>
      <w:proofErr w:type="spellStart"/>
      <w:smartTag w:uri="urn:schemas-microsoft-com:office:smarttags" w:element="place">
        <w:r>
          <w:t>Chichester</w:t>
        </w:r>
      </w:smartTag>
      <w:proofErr w:type="spellEnd"/>
      <w:r>
        <w:t>.</w:t>
      </w:r>
    </w:p>
    <w:p w:rsidR="00675F27" w:rsidRDefault="00D977A5" w:rsidP="00B4704D">
      <w:pPr>
        <w:pStyle w:val="References"/>
      </w:pPr>
      <w:r w:rsidRPr="00D977A5">
        <w:rPr>
          <w:color w:val="000025"/>
        </w:rPr>
        <w:t>Thompson, P W, Carlson, M P &amp; Silverman, J (2007)</w:t>
      </w:r>
      <w:r>
        <w:t xml:space="preserve"> </w:t>
      </w:r>
      <w:r w:rsidR="007E010A">
        <w:t>“</w:t>
      </w:r>
      <w:r>
        <w:t xml:space="preserve">The design of tasks in support of teachers’ development of coherent mathematical meanings” </w:t>
      </w:r>
      <w:r w:rsidRPr="00D977A5">
        <w:rPr>
          <w:i/>
        </w:rPr>
        <w:t>Journal of Mathematics Teacher Education</w:t>
      </w:r>
      <w:r>
        <w:t xml:space="preserve"> 10(4-6) 415-432</w:t>
      </w:r>
    </w:p>
    <w:p w:rsidR="001E662A" w:rsidRDefault="00AA689D" w:rsidP="006C2747">
      <w:pPr>
        <w:pStyle w:val="References"/>
      </w:pPr>
      <w:r>
        <w:rPr>
          <w:lang w:val="en-GB"/>
        </w:rPr>
        <w:t xml:space="preserve">Watson, A &amp; Mason J (2007) </w:t>
      </w:r>
      <w:r w:rsidRPr="0029416C">
        <w:rPr>
          <w:szCs w:val="18"/>
          <w:lang w:val="en-GB"/>
        </w:rPr>
        <w:t>“</w:t>
      </w:r>
      <w:hyperlink r:id="rId46" w:history="1">
        <w:r w:rsidRPr="0029416C">
          <w:rPr>
            <w:rStyle w:val="Hyperlink"/>
            <w:color w:val="auto"/>
            <w:sz w:val="18"/>
            <w:szCs w:val="18"/>
          </w:rPr>
          <w:t>Taken-as-shared: a review of common assumptions about mathematical tasks in teacher education</w:t>
        </w:r>
      </w:hyperlink>
      <w:r w:rsidRPr="0029416C">
        <w:rPr>
          <w:szCs w:val="18"/>
        </w:rPr>
        <w:t>”</w:t>
      </w:r>
      <w:r>
        <w:t xml:space="preserve"> </w:t>
      </w:r>
      <w:r w:rsidRPr="00D977A5">
        <w:rPr>
          <w:i/>
        </w:rPr>
        <w:t>Journal of Mathematics Teacher Education</w:t>
      </w:r>
      <w:r>
        <w:t xml:space="preserve"> 10(4-6) 205-215</w:t>
      </w:r>
    </w:p>
    <w:p w:rsidR="00D17276" w:rsidRPr="007262AF" w:rsidRDefault="00D17276" w:rsidP="00B4704D">
      <w:pPr>
        <w:pStyle w:val="References"/>
        <w:rPr>
          <w:lang w:val="en-GB"/>
        </w:rPr>
      </w:pPr>
    </w:p>
    <w:sectPr w:rsidR="00D17276" w:rsidRPr="007262AF" w:rsidSect="001E662A">
      <w:headerReference w:type="default" r:id="rId47"/>
      <w:pgSz w:w="11906" w:h="16838"/>
      <w:pgMar w:top="1304" w:right="3969" w:bottom="4365" w:left="1134" w:header="794" w:footer="426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C37" w:rsidRDefault="00EE6C37">
      <w:r>
        <w:separator/>
      </w:r>
    </w:p>
  </w:endnote>
  <w:endnote w:type="continuationSeparator" w:id="0">
    <w:p w:rsidR="00EE6C37" w:rsidRDefault="00EE6C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C37" w:rsidRDefault="00EE6C37">
      <w:r>
        <w:separator/>
      </w:r>
    </w:p>
  </w:footnote>
  <w:footnote w:type="continuationSeparator" w:id="0">
    <w:p w:rsidR="00EE6C37" w:rsidRDefault="00EE6C37">
      <w:r>
        <w:continuationSeparator/>
      </w:r>
    </w:p>
  </w:footnote>
  <w:footnote w:id="1">
    <w:p w:rsidR="00B4704D" w:rsidRPr="007B25D7" w:rsidRDefault="00B4704D" w:rsidP="00B33294">
      <w:pPr>
        <w:pStyle w:val="FootnoteText"/>
        <w:ind w:left="0" w:firstLine="0"/>
      </w:pPr>
      <w:r>
        <w:rPr>
          <w:rStyle w:val="FootnoteReference"/>
        </w:rPr>
        <w:footnoteRef/>
      </w:r>
      <w:r>
        <w:t xml:space="preserve"> In these descriptions of episodes the word ‘I’ refers to the one of us who was teaching at the time.</w:t>
      </w:r>
    </w:p>
  </w:footnote>
  <w:footnote w:id="2">
    <w:p w:rsidR="00B4704D" w:rsidRPr="00924223" w:rsidRDefault="00B4704D" w:rsidP="0029416C">
      <w:pPr>
        <w:pStyle w:val="Notes"/>
        <w:rPr>
          <w:lang w:val="en-GB"/>
        </w:rPr>
      </w:pPr>
      <w:r>
        <w:rPr>
          <w:rStyle w:val="FootnoteReference"/>
        </w:rPr>
        <w:footnoteRef/>
      </w:r>
      <w:r>
        <w:t xml:space="preserve"> </w:t>
      </w:r>
      <w:r>
        <w:rPr>
          <w:lang w:val="en-GB"/>
        </w:rPr>
        <w:t>The book from which this comes is a set text for the course.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64A" w:rsidRDefault="007E464A">
    <w:pPr>
      <w:pStyle w:val="Header"/>
    </w:pPr>
    <w:r>
      <w:t xml:space="preserve">Working </w:t>
    </w:r>
    <w:r w:rsidRPr="007E464A">
      <w:rPr>
        <w:lang w:val="en-GB"/>
      </w:rPr>
      <w:t>mathematically</w:t>
    </w:r>
    <w:r>
      <w:t xml:space="preserve"> on teaching mathematics</w:t>
    </w:r>
  </w:p>
  <w:p w:rsidR="007E464A" w:rsidRDefault="007E46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EA0C886"/>
    <w:lvl w:ilvl="0">
      <w:start w:val="1"/>
      <w:numFmt w:val="decimal"/>
      <w:lvlText w:val="%1."/>
      <w:lvlJc w:val="left"/>
      <w:pPr>
        <w:tabs>
          <w:tab w:val="num" w:pos="1492"/>
        </w:tabs>
        <w:ind w:left="1492" w:hanging="360"/>
      </w:pPr>
    </w:lvl>
  </w:abstractNum>
  <w:abstractNum w:abstractNumId="1">
    <w:nsid w:val="FFFFFF7D"/>
    <w:multiLevelType w:val="singleLevel"/>
    <w:tmpl w:val="80B4D7D6"/>
    <w:lvl w:ilvl="0">
      <w:start w:val="1"/>
      <w:numFmt w:val="decimal"/>
      <w:lvlText w:val="%1."/>
      <w:lvlJc w:val="left"/>
      <w:pPr>
        <w:tabs>
          <w:tab w:val="num" w:pos="1209"/>
        </w:tabs>
        <w:ind w:left="1209" w:hanging="360"/>
      </w:pPr>
    </w:lvl>
  </w:abstractNum>
  <w:abstractNum w:abstractNumId="2">
    <w:nsid w:val="FFFFFF7E"/>
    <w:multiLevelType w:val="singleLevel"/>
    <w:tmpl w:val="8AA0A454"/>
    <w:lvl w:ilvl="0">
      <w:start w:val="1"/>
      <w:numFmt w:val="decimal"/>
      <w:lvlText w:val="%1."/>
      <w:lvlJc w:val="left"/>
      <w:pPr>
        <w:tabs>
          <w:tab w:val="num" w:pos="926"/>
        </w:tabs>
        <w:ind w:left="926" w:hanging="360"/>
      </w:pPr>
    </w:lvl>
  </w:abstractNum>
  <w:abstractNum w:abstractNumId="3">
    <w:nsid w:val="FFFFFF7F"/>
    <w:multiLevelType w:val="singleLevel"/>
    <w:tmpl w:val="B4C474A0"/>
    <w:lvl w:ilvl="0">
      <w:start w:val="1"/>
      <w:numFmt w:val="decimal"/>
      <w:lvlText w:val="%1."/>
      <w:lvlJc w:val="left"/>
      <w:pPr>
        <w:tabs>
          <w:tab w:val="num" w:pos="643"/>
        </w:tabs>
        <w:ind w:left="643" w:hanging="360"/>
      </w:pPr>
    </w:lvl>
  </w:abstractNum>
  <w:abstractNum w:abstractNumId="4">
    <w:nsid w:val="FFFFFF80"/>
    <w:multiLevelType w:val="singleLevel"/>
    <w:tmpl w:val="2E9C7D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5C44E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3AA0F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F4201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30C6A8C"/>
    <w:lvl w:ilvl="0">
      <w:start w:val="1"/>
      <w:numFmt w:val="decimal"/>
      <w:lvlText w:val="%1."/>
      <w:lvlJc w:val="left"/>
      <w:pPr>
        <w:tabs>
          <w:tab w:val="num" w:pos="360"/>
        </w:tabs>
        <w:ind w:left="360" w:hanging="360"/>
      </w:pPr>
    </w:lvl>
  </w:abstractNum>
  <w:abstractNum w:abstractNumId="9">
    <w:nsid w:val="FFFFFF89"/>
    <w:multiLevelType w:val="singleLevel"/>
    <w:tmpl w:val="297E4D98"/>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FFFFFFFF"/>
    <w:lvl w:ilvl="0">
      <w:start w:val="1"/>
      <w:numFmt w:val="decimal"/>
      <w:pStyle w:val="Heading1"/>
      <w:lvlText w:val="%1."/>
      <w:legacy w:legacy="1" w:legacySpace="0" w:legacyIndent="567"/>
      <w:lvlJc w:val="left"/>
      <w:pPr>
        <w:ind w:left="900" w:hanging="567"/>
      </w:pPr>
    </w:lvl>
    <w:lvl w:ilvl="1">
      <w:start w:val="1"/>
      <w:numFmt w:val="decimal"/>
      <w:pStyle w:val="Heading2"/>
      <w:lvlText w:val="%1.%2"/>
      <w:legacy w:legacy="1" w:legacySpace="0" w:legacyIndent="567"/>
      <w:lvlJc w:val="left"/>
      <w:pPr>
        <w:ind w:left="900" w:hanging="567"/>
      </w:pPr>
    </w:lvl>
    <w:lvl w:ilvl="2">
      <w:start w:val="1"/>
      <w:numFmt w:val="decimal"/>
      <w:pStyle w:val="Heading3"/>
      <w:lvlText w:val="%1.%2.%3"/>
      <w:legacy w:legacy="1" w:legacySpace="0" w:legacyIndent="567"/>
      <w:lvlJc w:val="left"/>
      <w:pPr>
        <w:ind w:left="900" w:hanging="567"/>
      </w:pPr>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1">
    <w:nsid w:val="FFFFFFFE"/>
    <w:multiLevelType w:val="singleLevel"/>
    <w:tmpl w:val="1256C04C"/>
    <w:lvl w:ilvl="0">
      <w:numFmt w:val="decimal"/>
      <w:pStyle w:val="LISTbullet"/>
      <w:lvlText w:val="*"/>
      <w:lvlJc w:val="left"/>
    </w:lvl>
  </w:abstractNum>
  <w:abstractNum w:abstractNumId="12">
    <w:nsid w:val="01A36909"/>
    <w:multiLevelType w:val="singleLevel"/>
    <w:tmpl w:val="9EA0C886"/>
    <w:lvl w:ilvl="0">
      <w:start w:val="1"/>
      <w:numFmt w:val="decimal"/>
      <w:lvlText w:val="%1."/>
      <w:legacy w:legacy="1" w:legacySpace="0" w:legacyIndent="240"/>
      <w:lvlJc w:val="left"/>
      <w:pPr>
        <w:ind w:left="240" w:hanging="240"/>
      </w:pPr>
    </w:lvl>
  </w:abstractNum>
  <w:abstractNum w:abstractNumId="13">
    <w:nsid w:val="01C87AD8"/>
    <w:multiLevelType w:val="singleLevel"/>
    <w:tmpl w:val="19B0BE06"/>
    <w:lvl w:ilvl="0">
      <w:start w:val="1"/>
      <w:numFmt w:val="lowerLetter"/>
      <w:lvlText w:val="%1)"/>
      <w:legacy w:legacy="1" w:legacySpace="0" w:legacyIndent="240"/>
      <w:lvlJc w:val="left"/>
      <w:pPr>
        <w:ind w:left="240" w:hanging="240"/>
      </w:pPr>
    </w:lvl>
  </w:abstractNum>
  <w:abstractNum w:abstractNumId="14">
    <w:nsid w:val="02C90AB4"/>
    <w:multiLevelType w:val="singleLevel"/>
    <w:tmpl w:val="9EA0C886"/>
    <w:lvl w:ilvl="0">
      <w:start w:val="1"/>
      <w:numFmt w:val="decimal"/>
      <w:lvlText w:val="%1."/>
      <w:legacy w:legacy="1" w:legacySpace="0" w:legacyIndent="240"/>
      <w:lvlJc w:val="left"/>
      <w:pPr>
        <w:ind w:left="240" w:hanging="240"/>
      </w:pPr>
    </w:lvl>
  </w:abstractNum>
  <w:abstractNum w:abstractNumId="15">
    <w:nsid w:val="03090D56"/>
    <w:multiLevelType w:val="singleLevel"/>
    <w:tmpl w:val="83D866B8"/>
    <w:lvl w:ilvl="0">
      <w:numFmt w:val="decimal"/>
      <w:lvlText w:val="*"/>
      <w:lvlJc w:val="left"/>
    </w:lvl>
  </w:abstractNum>
  <w:abstractNum w:abstractNumId="16">
    <w:nsid w:val="0AB041F1"/>
    <w:multiLevelType w:val="singleLevel"/>
    <w:tmpl w:val="E6666C52"/>
    <w:lvl w:ilvl="0">
      <w:numFmt w:val="decimal"/>
      <w:lvlText w:val="*"/>
      <w:lvlJc w:val="left"/>
    </w:lvl>
  </w:abstractNum>
  <w:abstractNum w:abstractNumId="17">
    <w:nsid w:val="0C8C0FC6"/>
    <w:multiLevelType w:val="singleLevel"/>
    <w:tmpl w:val="19B0BE06"/>
    <w:lvl w:ilvl="0">
      <w:start w:val="1"/>
      <w:numFmt w:val="lowerLetter"/>
      <w:lvlText w:val="%1)"/>
      <w:legacy w:legacy="1" w:legacySpace="0" w:legacyIndent="240"/>
      <w:lvlJc w:val="left"/>
      <w:pPr>
        <w:ind w:left="240" w:hanging="240"/>
      </w:pPr>
    </w:lvl>
  </w:abstractNum>
  <w:abstractNum w:abstractNumId="18">
    <w:nsid w:val="0EF873C6"/>
    <w:multiLevelType w:val="hybridMultilevel"/>
    <w:tmpl w:val="915878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125219EA"/>
    <w:multiLevelType w:val="singleLevel"/>
    <w:tmpl w:val="9EA0C886"/>
    <w:lvl w:ilvl="0">
      <w:start w:val="1"/>
      <w:numFmt w:val="decimal"/>
      <w:lvlText w:val="%1."/>
      <w:legacy w:legacy="1" w:legacySpace="0" w:legacyIndent="240"/>
      <w:lvlJc w:val="left"/>
      <w:pPr>
        <w:ind w:left="240" w:hanging="240"/>
      </w:pPr>
    </w:lvl>
  </w:abstractNum>
  <w:abstractNum w:abstractNumId="20">
    <w:nsid w:val="12987D30"/>
    <w:multiLevelType w:val="singleLevel"/>
    <w:tmpl w:val="19B0BE06"/>
    <w:lvl w:ilvl="0">
      <w:start w:val="1"/>
      <w:numFmt w:val="lowerLetter"/>
      <w:lvlText w:val="%1)"/>
      <w:legacy w:legacy="1" w:legacySpace="0" w:legacyIndent="240"/>
      <w:lvlJc w:val="left"/>
      <w:pPr>
        <w:ind w:left="240" w:hanging="240"/>
      </w:pPr>
    </w:lvl>
  </w:abstractNum>
  <w:abstractNum w:abstractNumId="21">
    <w:nsid w:val="134210CB"/>
    <w:multiLevelType w:val="hybridMultilevel"/>
    <w:tmpl w:val="F9666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14A352D9"/>
    <w:multiLevelType w:val="multilevel"/>
    <w:tmpl w:val="390A874C"/>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18EF4028"/>
    <w:multiLevelType w:val="singleLevel"/>
    <w:tmpl w:val="9EA0C886"/>
    <w:lvl w:ilvl="0">
      <w:start w:val="1"/>
      <w:numFmt w:val="decimal"/>
      <w:lvlText w:val="%1."/>
      <w:legacy w:legacy="1" w:legacySpace="0" w:legacyIndent="240"/>
      <w:lvlJc w:val="left"/>
      <w:pPr>
        <w:ind w:left="240" w:hanging="240"/>
      </w:pPr>
    </w:lvl>
  </w:abstractNum>
  <w:abstractNum w:abstractNumId="24">
    <w:nsid w:val="21306498"/>
    <w:multiLevelType w:val="singleLevel"/>
    <w:tmpl w:val="19B0BE06"/>
    <w:lvl w:ilvl="0">
      <w:start w:val="1"/>
      <w:numFmt w:val="lowerLetter"/>
      <w:lvlText w:val="%1)"/>
      <w:legacy w:legacy="1" w:legacySpace="0" w:legacyIndent="240"/>
      <w:lvlJc w:val="left"/>
      <w:pPr>
        <w:ind w:left="240" w:hanging="240"/>
      </w:pPr>
    </w:lvl>
  </w:abstractNum>
  <w:abstractNum w:abstractNumId="25">
    <w:nsid w:val="264605C0"/>
    <w:multiLevelType w:val="hybridMultilevel"/>
    <w:tmpl w:val="9134E7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283E7B8B"/>
    <w:multiLevelType w:val="singleLevel"/>
    <w:tmpl w:val="BA2A7DFE"/>
    <w:lvl w:ilvl="0">
      <w:numFmt w:val="decimal"/>
      <w:lvlText w:val="*"/>
      <w:lvlJc w:val="left"/>
    </w:lvl>
  </w:abstractNum>
  <w:abstractNum w:abstractNumId="27">
    <w:nsid w:val="2BE65B41"/>
    <w:multiLevelType w:val="singleLevel"/>
    <w:tmpl w:val="9EA0C886"/>
    <w:lvl w:ilvl="0">
      <w:start w:val="1"/>
      <w:numFmt w:val="decimal"/>
      <w:lvlText w:val="%1."/>
      <w:legacy w:legacy="1" w:legacySpace="0" w:legacyIndent="240"/>
      <w:lvlJc w:val="left"/>
      <w:pPr>
        <w:ind w:left="240" w:hanging="240"/>
      </w:pPr>
    </w:lvl>
  </w:abstractNum>
  <w:abstractNum w:abstractNumId="28">
    <w:nsid w:val="2EED6BB1"/>
    <w:multiLevelType w:val="singleLevel"/>
    <w:tmpl w:val="9EA0C886"/>
    <w:lvl w:ilvl="0">
      <w:start w:val="1"/>
      <w:numFmt w:val="decimal"/>
      <w:lvlText w:val="%1."/>
      <w:legacy w:legacy="1" w:legacySpace="0" w:legacyIndent="240"/>
      <w:lvlJc w:val="left"/>
      <w:pPr>
        <w:ind w:left="240" w:hanging="240"/>
      </w:pPr>
    </w:lvl>
  </w:abstractNum>
  <w:abstractNum w:abstractNumId="29">
    <w:nsid w:val="326D470F"/>
    <w:multiLevelType w:val="singleLevel"/>
    <w:tmpl w:val="19B0BE06"/>
    <w:lvl w:ilvl="0">
      <w:start w:val="1"/>
      <w:numFmt w:val="lowerLetter"/>
      <w:lvlText w:val="%1)"/>
      <w:legacy w:legacy="1" w:legacySpace="0" w:legacyIndent="240"/>
      <w:lvlJc w:val="left"/>
      <w:pPr>
        <w:ind w:left="240" w:hanging="240"/>
      </w:pPr>
    </w:lvl>
  </w:abstractNum>
  <w:abstractNum w:abstractNumId="30">
    <w:nsid w:val="33FF7627"/>
    <w:multiLevelType w:val="singleLevel"/>
    <w:tmpl w:val="19B0BE06"/>
    <w:lvl w:ilvl="0">
      <w:start w:val="1"/>
      <w:numFmt w:val="lowerLetter"/>
      <w:lvlText w:val="%1)"/>
      <w:legacy w:legacy="1" w:legacySpace="0" w:legacyIndent="240"/>
      <w:lvlJc w:val="left"/>
      <w:pPr>
        <w:ind w:left="240" w:hanging="240"/>
      </w:pPr>
    </w:lvl>
  </w:abstractNum>
  <w:abstractNum w:abstractNumId="31">
    <w:nsid w:val="3B4C0E4A"/>
    <w:multiLevelType w:val="singleLevel"/>
    <w:tmpl w:val="19B0BE06"/>
    <w:lvl w:ilvl="0">
      <w:start w:val="1"/>
      <w:numFmt w:val="lowerLetter"/>
      <w:lvlText w:val="%1)"/>
      <w:legacy w:legacy="1" w:legacySpace="0" w:legacyIndent="240"/>
      <w:lvlJc w:val="left"/>
      <w:pPr>
        <w:ind w:left="240" w:hanging="240"/>
      </w:pPr>
    </w:lvl>
  </w:abstractNum>
  <w:abstractNum w:abstractNumId="32">
    <w:nsid w:val="3C275626"/>
    <w:multiLevelType w:val="hybridMultilevel"/>
    <w:tmpl w:val="81DEBE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3FA55F4D"/>
    <w:multiLevelType w:val="singleLevel"/>
    <w:tmpl w:val="19B0BE06"/>
    <w:lvl w:ilvl="0">
      <w:start w:val="1"/>
      <w:numFmt w:val="lowerLetter"/>
      <w:lvlText w:val="%1)"/>
      <w:legacy w:legacy="1" w:legacySpace="0" w:legacyIndent="240"/>
      <w:lvlJc w:val="left"/>
      <w:pPr>
        <w:ind w:left="240" w:hanging="240"/>
      </w:pPr>
    </w:lvl>
  </w:abstractNum>
  <w:abstractNum w:abstractNumId="34">
    <w:nsid w:val="45C25DEE"/>
    <w:multiLevelType w:val="hybridMultilevel"/>
    <w:tmpl w:val="6F60410C"/>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35">
    <w:nsid w:val="531106ED"/>
    <w:multiLevelType w:val="singleLevel"/>
    <w:tmpl w:val="9EA0C886"/>
    <w:lvl w:ilvl="0">
      <w:start w:val="1"/>
      <w:numFmt w:val="decimal"/>
      <w:lvlText w:val="%1."/>
      <w:legacy w:legacy="1" w:legacySpace="0" w:legacyIndent="240"/>
      <w:lvlJc w:val="left"/>
      <w:pPr>
        <w:ind w:left="240" w:hanging="240"/>
      </w:pPr>
    </w:lvl>
  </w:abstractNum>
  <w:abstractNum w:abstractNumId="36">
    <w:nsid w:val="5402205D"/>
    <w:multiLevelType w:val="hybridMultilevel"/>
    <w:tmpl w:val="BB74E4C6"/>
    <w:lvl w:ilvl="0" w:tplc="89D2BA6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7506661"/>
    <w:multiLevelType w:val="singleLevel"/>
    <w:tmpl w:val="9EA0C886"/>
    <w:lvl w:ilvl="0">
      <w:start w:val="1"/>
      <w:numFmt w:val="decimal"/>
      <w:lvlText w:val="%1."/>
      <w:legacy w:legacy="1" w:legacySpace="0" w:legacyIndent="240"/>
      <w:lvlJc w:val="left"/>
      <w:pPr>
        <w:ind w:left="240" w:hanging="240"/>
      </w:pPr>
    </w:lvl>
  </w:abstractNum>
  <w:abstractNum w:abstractNumId="38">
    <w:nsid w:val="5DAA1F3E"/>
    <w:multiLevelType w:val="hybridMultilevel"/>
    <w:tmpl w:val="390A874C"/>
    <w:lvl w:ilvl="0" w:tplc="C3341BF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89E32E2"/>
    <w:multiLevelType w:val="singleLevel"/>
    <w:tmpl w:val="19B0BE06"/>
    <w:lvl w:ilvl="0">
      <w:start w:val="1"/>
      <w:numFmt w:val="lowerLetter"/>
      <w:lvlText w:val="%1)"/>
      <w:legacy w:legacy="1" w:legacySpace="0" w:legacyIndent="240"/>
      <w:lvlJc w:val="left"/>
      <w:pPr>
        <w:ind w:left="240" w:hanging="240"/>
      </w:pPr>
    </w:lvl>
  </w:abstractNum>
  <w:abstractNum w:abstractNumId="40">
    <w:nsid w:val="6BFF6D13"/>
    <w:multiLevelType w:val="multilevel"/>
    <w:tmpl w:val="946C7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FC52601"/>
    <w:multiLevelType w:val="singleLevel"/>
    <w:tmpl w:val="19B0BE06"/>
    <w:lvl w:ilvl="0">
      <w:start w:val="1"/>
      <w:numFmt w:val="lowerLetter"/>
      <w:lvlText w:val="%1)"/>
      <w:legacy w:legacy="1" w:legacySpace="0" w:legacyIndent="240"/>
      <w:lvlJc w:val="left"/>
      <w:pPr>
        <w:ind w:left="240" w:hanging="240"/>
      </w:pPr>
    </w:lvl>
  </w:abstractNum>
  <w:abstractNum w:abstractNumId="42">
    <w:nsid w:val="717F5EAF"/>
    <w:multiLevelType w:val="multilevel"/>
    <w:tmpl w:val="946C7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nsid w:val="752B546D"/>
    <w:multiLevelType w:val="singleLevel"/>
    <w:tmpl w:val="2D600572"/>
    <w:lvl w:ilvl="0">
      <w:numFmt w:val="decimal"/>
      <w:lvlText w:val="*"/>
      <w:lvlJc w:val="left"/>
    </w:lvl>
  </w:abstractNum>
  <w:abstractNum w:abstractNumId="44">
    <w:nsid w:val="77E148B1"/>
    <w:multiLevelType w:val="singleLevel"/>
    <w:tmpl w:val="19B0BE06"/>
    <w:lvl w:ilvl="0">
      <w:start w:val="1"/>
      <w:numFmt w:val="lowerLetter"/>
      <w:lvlText w:val="%1)"/>
      <w:legacy w:legacy="1" w:legacySpace="0" w:legacyIndent="240"/>
      <w:lvlJc w:val="left"/>
      <w:pPr>
        <w:ind w:left="240" w:hanging="240"/>
      </w:pPr>
    </w:lvl>
  </w:abstractNum>
  <w:abstractNum w:abstractNumId="45">
    <w:nsid w:val="78AF30F0"/>
    <w:multiLevelType w:val="singleLevel"/>
    <w:tmpl w:val="19B0BE06"/>
    <w:lvl w:ilvl="0">
      <w:start w:val="1"/>
      <w:numFmt w:val="lowerLetter"/>
      <w:lvlText w:val="%1)"/>
      <w:legacy w:legacy="1" w:legacySpace="0" w:legacyIndent="240"/>
      <w:lvlJc w:val="left"/>
      <w:pPr>
        <w:ind w:left="240" w:hanging="240"/>
      </w:pPr>
    </w:lvl>
  </w:abstractNum>
  <w:abstractNum w:abstractNumId="46">
    <w:nsid w:val="78C913A7"/>
    <w:multiLevelType w:val="singleLevel"/>
    <w:tmpl w:val="9EA0C886"/>
    <w:lvl w:ilvl="0">
      <w:start w:val="1"/>
      <w:numFmt w:val="decimal"/>
      <w:lvlText w:val="%1."/>
      <w:legacy w:legacy="1" w:legacySpace="0" w:legacyIndent="240"/>
      <w:lvlJc w:val="left"/>
      <w:pPr>
        <w:ind w:left="240" w:hanging="240"/>
      </w:pPr>
    </w:lvl>
  </w:abstractNum>
  <w:abstractNum w:abstractNumId="47">
    <w:nsid w:val="7B1115D1"/>
    <w:multiLevelType w:val="hybridMultilevel"/>
    <w:tmpl w:val="4A94A2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47"/>
  </w:num>
  <w:num w:numId="3">
    <w:abstractNumId w:val="32"/>
  </w:num>
  <w:num w:numId="4">
    <w:abstractNumId w:val="25"/>
  </w:num>
  <w:num w:numId="5">
    <w:abstractNumId w:val="36"/>
  </w:num>
  <w:num w:numId="6">
    <w:abstractNumId w:val="38"/>
  </w:num>
  <w:num w:numId="7">
    <w:abstractNumId w:val="40"/>
  </w:num>
  <w:num w:numId="8">
    <w:abstractNumId w:val="42"/>
  </w:num>
  <w:num w:numId="9">
    <w:abstractNumId w:val="22"/>
  </w:num>
  <w:num w:numId="10">
    <w:abstractNumId w:val="18"/>
  </w:num>
  <w:num w:numId="11">
    <w:abstractNumId w:val="10"/>
  </w:num>
  <w:num w:numId="12">
    <w:abstractNumId w:val="11"/>
    <w:lvlOverride w:ilvl="0">
      <w:lvl w:ilvl="0">
        <w:start w:val="1"/>
        <w:numFmt w:val="bullet"/>
        <w:pStyle w:val="LISTbullet"/>
        <w:lvlText w:val=""/>
        <w:legacy w:legacy="1" w:legacySpace="0" w:legacyIndent="360"/>
        <w:lvlJc w:val="left"/>
        <w:pPr>
          <w:ind w:left="360" w:hanging="360"/>
        </w:pPr>
        <w:rPr>
          <w:rFonts w:ascii="Courier New" w:hAnsi="Courier New" w:hint="default"/>
        </w:rPr>
      </w:lvl>
    </w:lvlOverride>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30"/>
  </w:num>
  <w:num w:numId="24">
    <w:abstractNumId w:val="11"/>
    <w:lvlOverride w:ilvl="0">
      <w:lvl w:ilvl="0">
        <w:start w:val="1"/>
        <w:numFmt w:val="bullet"/>
        <w:pStyle w:val="LISTbullet"/>
        <w:lvlText w:val="–"/>
        <w:legacy w:legacy="1" w:legacySpace="0" w:legacyIndent="200"/>
        <w:lvlJc w:val="left"/>
        <w:pPr>
          <w:ind w:left="200" w:hanging="200"/>
        </w:pPr>
        <w:rPr>
          <w:rFonts w:ascii="Times New Roman" w:hAnsi="Times New Roman" w:hint="default"/>
          <w:sz w:val="22"/>
        </w:rPr>
      </w:lvl>
    </w:lvlOverride>
  </w:num>
  <w:num w:numId="25">
    <w:abstractNumId w:val="35"/>
  </w:num>
  <w:num w:numId="26">
    <w:abstractNumId w:val="17"/>
  </w:num>
  <w:num w:numId="27">
    <w:abstractNumId w:val="19"/>
  </w:num>
  <w:num w:numId="28">
    <w:abstractNumId w:val="39"/>
  </w:num>
  <w:num w:numId="29">
    <w:abstractNumId w:val="46"/>
  </w:num>
  <w:num w:numId="30">
    <w:abstractNumId w:val="27"/>
  </w:num>
  <w:num w:numId="31">
    <w:abstractNumId w:val="24"/>
  </w:num>
  <w:num w:numId="32">
    <w:abstractNumId w:val="23"/>
  </w:num>
  <w:num w:numId="33">
    <w:abstractNumId w:val="45"/>
  </w:num>
  <w:num w:numId="34">
    <w:abstractNumId w:val="11"/>
    <w:lvlOverride w:ilvl="0">
      <w:lvl w:ilvl="0">
        <w:start w:val="1"/>
        <w:numFmt w:val="bullet"/>
        <w:pStyle w:val="LISTbullet"/>
        <w:lvlText w:val=""/>
        <w:lvlJc w:val="left"/>
        <w:pPr>
          <w:tabs>
            <w:tab w:val="num" w:pos="360"/>
          </w:tabs>
          <w:ind w:left="360" w:hanging="360"/>
        </w:pPr>
        <w:rPr>
          <w:rFonts w:ascii="Symbol" w:hAnsi="Symbol" w:hint="default"/>
        </w:rPr>
      </w:lvl>
    </w:lvlOverride>
  </w:num>
  <w:num w:numId="35">
    <w:abstractNumId w:val="41"/>
  </w:num>
  <w:num w:numId="36">
    <w:abstractNumId w:val="13"/>
  </w:num>
  <w:num w:numId="37">
    <w:abstractNumId w:val="29"/>
  </w:num>
  <w:num w:numId="38">
    <w:abstractNumId w:val="20"/>
  </w:num>
  <w:num w:numId="39">
    <w:abstractNumId w:val="33"/>
  </w:num>
  <w:num w:numId="40">
    <w:abstractNumId w:val="26"/>
    <w:lvlOverride w:ilvl="0">
      <w:lvl w:ilvl="0">
        <w:start w:val="1"/>
        <w:numFmt w:val="bullet"/>
        <w:lvlText w:val="–"/>
        <w:legacy w:legacy="1" w:legacySpace="0" w:legacyIndent="200"/>
        <w:lvlJc w:val="left"/>
        <w:pPr>
          <w:ind w:left="200" w:hanging="200"/>
        </w:pPr>
        <w:rPr>
          <w:rFonts w:ascii="Times New Roman" w:hAnsi="Times New Roman" w:hint="default"/>
          <w:sz w:val="22"/>
        </w:rPr>
      </w:lvl>
    </w:lvlOverride>
  </w:num>
  <w:num w:numId="41">
    <w:abstractNumId w:val="15"/>
    <w:lvlOverride w:ilvl="0">
      <w:lvl w:ilvl="0">
        <w:start w:val="1"/>
        <w:numFmt w:val="bullet"/>
        <w:lvlText w:val="–"/>
        <w:legacy w:legacy="1" w:legacySpace="0" w:legacyIndent="200"/>
        <w:lvlJc w:val="left"/>
        <w:pPr>
          <w:ind w:left="200" w:hanging="200"/>
        </w:pPr>
        <w:rPr>
          <w:rFonts w:ascii="Times New Roman" w:hAnsi="Times New Roman" w:hint="default"/>
          <w:sz w:val="22"/>
        </w:rPr>
      </w:lvl>
    </w:lvlOverride>
  </w:num>
  <w:num w:numId="42">
    <w:abstractNumId w:val="16"/>
    <w:lvlOverride w:ilvl="0">
      <w:lvl w:ilvl="0">
        <w:start w:val="1"/>
        <w:numFmt w:val="bullet"/>
        <w:lvlText w:val="–"/>
        <w:legacy w:legacy="1" w:legacySpace="0" w:legacyIndent="200"/>
        <w:lvlJc w:val="left"/>
        <w:pPr>
          <w:ind w:left="200" w:hanging="200"/>
        </w:pPr>
        <w:rPr>
          <w:rFonts w:ascii="Times New Roman" w:hAnsi="Times New Roman" w:hint="default"/>
          <w:sz w:val="22"/>
        </w:rPr>
      </w:lvl>
    </w:lvlOverride>
  </w:num>
  <w:num w:numId="43">
    <w:abstractNumId w:val="43"/>
    <w:lvlOverride w:ilvl="0">
      <w:lvl w:ilvl="0">
        <w:start w:val="1"/>
        <w:numFmt w:val="bullet"/>
        <w:lvlText w:val="–"/>
        <w:legacy w:legacy="1" w:legacySpace="0" w:legacyIndent="200"/>
        <w:lvlJc w:val="left"/>
        <w:pPr>
          <w:ind w:left="200" w:hanging="200"/>
        </w:pPr>
        <w:rPr>
          <w:rFonts w:ascii="Times New Roman" w:hAnsi="Times New Roman" w:hint="default"/>
          <w:sz w:val="22"/>
        </w:rPr>
      </w:lvl>
    </w:lvlOverride>
  </w:num>
  <w:num w:numId="44">
    <w:abstractNumId w:val="28"/>
  </w:num>
  <w:num w:numId="45">
    <w:abstractNumId w:val="14"/>
  </w:num>
  <w:num w:numId="46">
    <w:abstractNumId w:val="37"/>
  </w:num>
  <w:num w:numId="47">
    <w:abstractNumId w:val="12"/>
  </w:num>
  <w:num w:numId="48">
    <w:abstractNumId w:val="44"/>
  </w:num>
  <w:num w:numId="49">
    <w:abstractNumId w:val="31"/>
  </w:num>
  <w:num w:numId="50">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linkStyles/>
  <w:stylePaneFormatFilter w:val="3F01"/>
  <w:defaultTabStop w:val="720"/>
  <w:drawingGridHorizontalSpacing w:val="110"/>
  <w:displayHorizontalDrawingGridEvery w:val="2"/>
  <w:characterSpacingControl w:val="doNotCompress"/>
  <w:footnotePr>
    <w:footnote w:id="-1"/>
    <w:footnote w:id="0"/>
  </w:footnotePr>
  <w:endnotePr>
    <w:endnote w:id="-1"/>
    <w:endnote w:id="0"/>
  </w:endnotePr>
  <w:compat/>
  <w:docVars>
    <w:docVar w:name="mydocID" w:val="2539473"/>
  </w:docVars>
  <w:rsids>
    <w:rsidRoot w:val="00AB517D"/>
    <w:rsid w:val="0001660D"/>
    <w:rsid w:val="000B1420"/>
    <w:rsid w:val="0015513C"/>
    <w:rsid w:val="00182542"/>
    <w:rsid w:val="00184B08"/>
    <w:rsid w:val="00194F9A"/>
    <w:rsid w:val="001A41F6"/>
    <w:rsid w:val="001C5A03"/>
    <w:rsid w:val="001E662A"/>
    <w:rsid w:val="001F603F"/>
    <w:rsid w:val="002453A0"/>
    <w:rsid w:val="00265E97"/>
    <w:rsid w:val="002803FC"/>
    <w:rsid w:val="00282AF8"/>
    <w:rsid w:val="0029416C"/>
    <w:rsid w:val="002C1CCC"/>
    <w:rsid w:val="002C5949"/>
    <w:rsid w:val="002F1840"/>
    <w:rsid w:val="002F66B4"/>
    <w:rsid w:val="00320D79"/>
    <w:rsid w:val="00336C6B"/>
    <w:rsid w:val="003A1DFC"/>
    <w:rsid w:val="003B4EB7"/>
    <w:rsid w:val="003E6C27"/>
    <w:rsid w:val="003F57BB"/>
    <w:rsid w:val="0043054D"/>
    <w:rsid w:val="00490DF9"/>
    <w:rsid w:val="00497405"/>
    <w:rsid w:val="004A4B29"/>
    <w:rsid w:val="004B5A65"/>
    <w:rsid w:val="004C7FC0"/>
    <w:rsid w:val="004D7FCE"/>
    <w:rsid w:val="004F2717"/>
    <w:rsid w:val="00502FCE"/>
    <w:rsid w:val="005306D7"/>
    <w:rsid w:val="00550E64"/>
    <w:rsid w:val="00564842"/>
    <w:rsid w:val="0057134D"/>
    <w:rsid w:val="00602CF1"/>
    <w:rsid w:val="00622D78"/>
    <w:rsid w:val="00653C7F"/>
    <w:rsid w:val="006610E6"/>
    <w:rsid w:val="00675F27"/>
    <w:rsid w:val="006C2747"/>
    <w:rsid w:val="00705DC7"/>
    <w:rsid w:val="007262AF"/>
    <w:rsid w:val="00726AED"/>
    <w:rsid w:val="00771423"/>
    <w:rsid w:val="00784E64"/>
    <w:rsid w:val="007878CF"/>
    <w:rsid w:val="007A1098"/>
    <w:rsid w:val="007B25D7"/>
    <w:rsid w:val="007E010A"/>
    <w:rsid w:val="007E464A"/>
    <w:rsid w:val="008065CC"/>
    <w:rsid w:val="00840A37"/>
    <w:rsid w:val="00872A7A"/>
    <w:rsid w:val="008D1374"/>
    <w:rsid w:val="00924223"/>
    <w:rsid w:val="00973690"/>
    <w:rsid w:val="00980275"/>
    <w:rsid w:val="009E484F"/>
    <w:rsid w:val="009F694B"/>
    <w:rsid w:val="00A23A00"/>
    <w:rsid w:val="00A24D5F"/>
    <w:rsid w:val="00A32D83"/>
    <w:rsid w:val="00A66DF5"/>
    <w:rsid w:val="00AA689D"/>
    <w:rsid w:val="00AB517D"/>
    <w:rsid w:val="00AD77E9"/>
    <w:rsid w:val="00AE2162"/>
    <w:rsid w:val="00B23687"/>
    <w:rsid w:val="00B33294"/>
    <w:rsid w:val="00B4704D"/>
    <w:rsid w:val="00B5651E"/>
    <w:rsid w:val="00BA612D"/>
    <w:rsid w:val="00BB6FF6"/>
    <w:rsid w:val="00BD01C0"/>
    <w:rsid w:val="00BD4CB2"/>
    <w:rsid w:val="00BE7447"/>
    <w:rsid w:val="00C35C37"/>
    <w:rsid w:val="00C71694"/>
    <w:rsid w:val="00C90A58"/>
    <w:rsid w:val="00CC1F11"/>
    <w:rsid w:val="00CF695D"/>
    <w:rsid w:val="00D17276"/>
    <w:rsid w:val="00D26546"/>
    <w:rsid w:val="00D5067C"/>
    <w:rsid w:val="00D84F16"/>
    <w:rsid w:val="00D8716E"/>
    <w:rsid w:val="00D977A5"/>
    <w:rsid w:val="00DC37FD"/>
    <w:rsid w:val="00DF335F"/>
    <w:rsid w:val="00DF4D4B"/>
    <w:rsid w:val="00DF4EF7"/>
    <w:rsid w:val="00E06843"/>
    <w:rsid w:val="00E42102"/>
    <w:rsid w:val="00E512EC"/>
    <w:rsid w:val="00E77843"/>
    <w:rsid w:val="00E96520"/>
    <w:rsid w:val="00EC3756"/>
    <w:rsid w:val="00EE6C37"/>
    <w:rsid w:val="00EF0113"/>
    <w:rsid w:val="00F23C07"/>
    <w:rsid w:val="00F77B68"/>
    <w:rsid w:val="00FA73CE"/>
    <w:rsid w:val="00FC1B1E"/>
    <w:rsid w:val="00FC55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ersonName"/>
  <w:shapeDefaults>
    <o:shapedefaults v:ext="edit" spidmax="2050"/>
    <o:shapelayout v:ext="edit">
      <o:idmap v:ext="edit" data="1"/>
      <o:rules v:ext="edit">
        <o:r id="V:Rule2" type="connector" idref="#_x0000_s1115"/>
        <o:r id="V:Rule4" type="connector" idref="#_x0000_s1116"/>
        <o:r id="V:Rule6" type="connector" idref="#_x0000_s1117"/>
        <o:r id="V:Rule8" type="connector" idref="#_x0000_s11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37FD"/>
    <w:pPr>
      <w:spacing w:line="260" w:lineRule="exact"/>
      <w:ind w:firstLine="300"/>
      <w:jc w:val="both"/>
    </w:pPr>
    <w:rPr>
      <w:sz w:val="22"/>
      <w:lang w:val="en-US" w:eastAsia="nl-NL"/>
    </w:rPr>
  </w:style>
  <w:style w:type="paragraph" w:styleId="Heading1">
    <w:name w:val="heading 1"/>
    <w:basedOn w:val="Normal"/>
    <w:next w:val="Normal"/>
    <w:qFormat/>
    <w:rsid w:val="00DC37FD"/>
    <w:pPr>
      <w:keepNext/>
      <w:keepLines/>
      <w:numPr>
        <w:numId w:val="11"/>
      </w:numPr>
      <w:spacing w:before="520" w:after="260" w:line="300" w:lineRule="exact"/>
      <w:ind w:hanging="900"/>
      <w:jc w:val="left"/>
      <w:outlineLvl w:val="0"/>
    </w:pPr>
    <w:rPr>
      <w:b/>
      <w:caps/>
      <w:kern w:val="22"/>
      <w:sz w:val="26"/>
    </w:rPr>
  </w:style>
  <w:style w:type="paragraph" w:styleId="Heading2">
    <w:name w:val="heading 2"/>
    <w:basedOn w:val="Normal"/>
    <w:next w:val="Normal"/>
    <w:qFormat/>
    <w:rsid w:val="00DC37FD"/>
    <w:pPr>
      <w:keepNext/>
      <w:keepLines/>
      <w:numPr>
        <w:ilvl w:val="1"/>
        <w:numId w:val="11"/>
      </w:numPr>
      <w:spacing w:before="260" w:after="260" w:line="300" w:lineRule="exact"/>
      <w:ind w:hanging="900"/>
      <w:jc w:val="left"/>
      <w:outlineLvl w:val="1"/>
    </w:pPr>
    <w:rPr>
      <w:b/>
      <w:sz w:val="26"/>
    </w:rPr>
  </w:style>
  <w:style w:type="paragraph" w:styleId="Heading3">
    <w:name w:val="heading 3"/>
    <w:basedOn w:val="Normal"/>
    <w:next w:val="Normal"/>
    <w:qFormat/>
    <w:rsid w:val="00DC37FD"/>
    <w:pPr>
      <w:keepNext/>
      <w:keepLines/>
      <w:numPr>
        <w:ilvl w:val="2"/>
        <w:numId w:val="11"/>
      </w:numPr>
      <w:spacing w:before="260" w:after="260"/>
      <w:ind w:hanging="900"/>
      <w:jc w:val="left"/>
      <w:outlineLvl w:val="2"/>
    </w:pPr>
    <w:rPr>
      <w:b/>
      <w:kern w:val="22"/>
    </w:rPr>
  </w:style>
  <w:style w:type="paragraph" w:styleId="Heading4">
    <w:name w:val="heading 4"/>
    <w:basedOn w:val="Normal"/>
    <w:next w:val="Normal"/>
    <w:qFormat/>
    <w:rsid w:val="00DC37FD"/>
    <w:pPr>
      <w:keepNext/>
      <w:keepLines/>
      <w:numPr>
        <w:ilvl w:val="3"/>
        <w:numId w:val="11"/>
      </w:numPr>
      <w:spacing w:before="260"/>
      <w:ind w:left="1000" w:hanging="1000"/>
      <w:jc w:val="left"/>
      <w:outlineLvl w:val="3"/>
    </w:pPr>
    <w:rPr>
      <w:b/>
      <w:kern w:val="20"/>
    </w:rPr>
  </w:style>
  <w:style w:type="paragraph" w:styleId="Heading5">
    <w:name w:val="heading 5"/>
    <w:basedOn w:val="Heading4"/>
    <w:next w:val="Normal"/>
    <w:qFormat/>
    <w:rsid w:val="00DC37FD"/>
    <w:pPr>
      <w:numPr>
        <w:ilvl w:val="4"/>
      </w:numPr>
      <w:outlineLvl w:val="4"/>
    </w:pPr>
  </w:style>
  <w:style w:type="paragraph" w:styleId="Heading6">
    <w:name w:val="heading 6"/>
    <w:basedOn w:val="Heading4"/>
    <w:next w:val="Normal"/>
    <w:qFormat/>
    <w:rsid w:val="00DC37FD"/>
    <w:pPr>
      <w:numPr>
        <w:ilvl w:val="5"/>
      </w:numPr>
      <w:outlineLvl w:val="5"/>
    </w:pPr>
  </w:style>
  <w:style w:type="paragraph" w:styleId="Heading7">
    <w:name w:val="heading 7"/>
    <w:basedOn w:val="Heading4"/>
    <w:next w:val="Normal"/>
    <w:qFormat/>
    <w:rsid w:val="00DC37FD"/>
    <w:pPr>
      <w:numPr>
        <w:ilvl w:val="6"/>
      </w:numPr>
      <w:outlineLvl w:val="6"/>
    </w:pPr>
  </w:style>
  <w:style w:type="paragraph" w:styleId="Heading8">
    <w:name w:val="heading 8"/>
    <w:basedOn w:val="Heading4"/>
    <w:next w:val="Normal"/>
    <w:qFormat/>
    <w:rsid w:val="00DC37FD"/>
    <w:pPr>
      <w:numPr>
        <w:ilvl w:val="7"/>
      </w:numPr>
      <w:outlineLvl w:val="7"/>
    </w:pPr>
  </w:style>
  <w:style w:type="paragraph" w:styleId="Heading9">
    <w:name w:val="heading 9"/>
    <w:basedOn w:val="Heading4"/>
    <w:next w:val="Normal"/>
    <w:qFormat/>
    <w:rsid w:val="00DC37FD"/>
    <w:pPr>
      <w:numPr>
        <w:ilvl w:val="8"/>
      </w:numPr>
      <w:tabs>
        <w:tab w:val="num" w:pos="360"/>
      </w:tabs>
      <w:outlineLvl w:val="8"/>
    </w:pPr>
  </w:style>
  <w:style w:type="character" w:default="1" w:styleId="DefaultParagraphFont">
    <w:name w:val="Default Paragraph Font"/>
    <w:semiHidden/>
    <w:rsid w:val="00DC37F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DC37FD"/>
  </w:style>
  <w:style w:type="table" w:styleId="TableGrid">
    <w:name w:val="Table Grid"/>
    <w:basedOn w:val="TableNormal"/>
    <w:rsid w:val="00AB51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C7FC0"/>
    <w:rPr>
      <w:rFonts w:ascii="Tahoma" w:hAnsi="Tahoma" w:cs="Tahoma"/>
      <w:sz w:val="16"/>
      <w:szCs w:val="16"/>
    </w:rPr>
  </w:style>
  <w:style w:type="paragraph" w:styleId="FootnoteText">
    <w:name w:val="footnote text"/>
    <w:basedOn w:val="small"/>
    <w:semiHidden/>
    <w:rsid w:val="00DC37FD"/>
    <w:pPr>
      <w:ind w:left="240" w:hanging="240"/>
    </w:pPr>
  </w:style>
  <w:style w:type="character" w:styleId="FootnoteReference">
    <w:name w:val="footnote reference"/>
    <w:basedOn w:val="DefaultParagraphFont"/>
    <w:semiHidden/>
    <w:rsid w:val="00DC37FD"/>
    <w:rPr>
      <w:rFonts w:ascii="Times New Roman" w:hAnsi="Times New Roman"/>
      <w:sz w:val="18"/>
      <w:vertAlign w:val="superscript"/>
    </w:rPr>
  </w:style>
  <w:style w:type="paragraph" w:styleId="NormalWeb">
    <w:name w:val="Normal (Web)"/>
    <w:basedOn w:val="Normal"/>
    <w:rsid w:val="00D977A5"/>
    <w:pPr>
      <w:spacing w:before="100" w:beforeAutospacing="1" w:after="100" w:afterAutospacing="1"/>
    </w:pPr>
  </w:style>
  <w:style w:type="character" w:styleId="Hyperlink">
    <w:name w:val="Hyperlink"/>
    <w:basedOn w:val="DefaultParagraphFont"/>
    <w:rsid w:val="00D977A5"/>
    <w:rPr>
      <w:strike w:val="0"/>
      <w:dstrike w:val="0"/>
      <w:color w:val="5A597B"/>
      <w:sz w:val="24"/>
      <w:szCs w:val="24"/>
      <w:u w:val="none"/>
      <w:effect w:val="none"/>
    </w:rPr>
  </w:style>
  <w:style w:type="character" w:styleId="CommentReference">
    <w:name w:val="annotation reference"/>
    <w:basedOn w:val="DefaultParagraphFont"/>
    <w:semiHidden/>
    <w:rsid w:val="005306D7"/>
    <w:rPr>
      <w:sz w:val="16"/>
      <w:szCs w:val="16"/>
    </w:rPr>
  </w:style>
  <w:style w:type="paragraph" w:styleId="CommentText">
    <w:name w:val="annotation text"/>
    <w:basedOn w:val="Normal"/>
    <w:semiHidden/>
    <w:rsid w:val="005306D7"/>
    <w:rPr>
      <w:sz w:val="20"/>
    </w:rPr>
  </w:style>
  <w:style w:type="paragraph" w:styleId="CommentSubject">
    <w:name w:val="annotation subject"/>
    <w:basedOn w:val="CommentText"/>
    <w:next w:val="CommentText"/>
    <w:semiHidden/>
    <w:rsid w:val="005306D7"/>
    <w:rPr>
      <w:b/>
      <w:bCs/>
    </w:rPr>
  </w:style>
  <w:style w:type="paragraph" w:styleId="Subtitle">
    <w:name w:val="Subtitle"/>
    <w:basedOn w:val="Normal"/>
    <w:next w:val="Author"/>
    <w:qFormat/>
    <w:rsid w:val="00DC37FD"/>
    <w:pPr>
      <w:spacing w:line="300" w:lineRule="exact"/>
      <w:ind w:firstLine="0"/>
      <w:jc w:val="left"/>
    </w:pPr>
    <w:rPr>
      <w:i/>
      <w:noProof/>
      <w:sz w:val="26"/>
    </w:rPr>
  </w:style>
  <w:style w:type="paragraph" w:customStyle="1" w:styleId="Author">
    <w:name w:val="Author"/>
    <w:basedOn w:val="Normal"/>
    <w:rsid w:val="00DC37FD"/>
    <w:pPr>
      <w:spacing w:before="480"/>
      <w:ind w:firstLine="0"/>
    </w:pPr>
    <w:rPr>
      <w:noProof/>
    </w:rPr>
  </w:style>
  <w:style w:type="paragraph" w:styleId="Header">
    <w:name w:val="header"/>
    <w:basedOn w:val="Normal"/>
    <w:link w:val="HeaderChar"/>
    <w:uiPriority w:val="99"/>
    <w:rsid w:val="00DC37FD"/>
    <w:pPr>
      <w:ind w:firstLine="0"/>
      <w:jc w:val="left"/>
    </w:pPr>
    <w:rPr>
      <w:i/>
      <w:noProof/>
    </w:rPr>
  </w:style>
  <w:style w:type="paragraph" w:styleId="Footer">
    <w:name w:val="footer"/>
    <w:basedOn w:val="Normal"/>
    <w:rsid w:val="00DC37FD"/>
    <w:pPr>
      <w:jc w:val="center"/>
    </w:pPr>
  </w:style>
  <w:style w:type="paragraph" w:customStyle="1" w:styleId="CN">
    <w:name w:val="CN"/>
    <w:basedOn w:val="ChapterNo"/>
    <w:rsid w:val="00DC37FD"/>
  </w:style>
  <w:style w:type="paragraph" w:customStyle="1" w:styleId="ChapterNo">
    <w:name w:val="ChapterNo"/>
    <w:basedOn w:val="Normal"/>
    <w:rsid w:val="00DC37FD"/>
    <w:pPr>
      <w:spacing w:before="1140" w:after="260" w:line="340" w:lineRule="exact"/>
      <w:ind w:firstLine="0"/>
      <w:jc w:val="left"/>
    </w:pPr>
    <w:rPr>
      <w:noProof/>
      <w:sz w:val="30"/>
    </w:rPr>
  </w:style>
  <w:style w:type="paragraph" w:customStyle="1" w:styleId="small">
    <w:name w:val="small"/>
    <w:basedOn w:val="Normal"/>
    <w:rsid w:val="00DC37FD"/>
    <w:pPr>
      <w:spacing w:line="220" w:lineRule="exact"/>
      <w:ind w:firstLine="0"/>
    </w:pPr>
    <w:rPr>
      <w:sz w:val="18"/>
    </w:rPr>
  </w:style>
  <w:style w:type="paragraph" w:customStyle="1" w:styleId="Appendix">
    <w:name w:val="Appendix"/>
    <w:basedOn w:val="small"/>
    <w:rsid w:val="00DC37FD"/>
    <w:pPr>
      <w:ind w:firstLine="245"/>
    </w:pPr>
  </w:style>
  <w:style w:type="paragraph" w:customStyle="1" w:styleId="Affiliation">
    <w:name w:val="Affiliation"/>
    <w:basedOn w:val="Normal"/>
    <w:next w:val="Abstract"/>
    <w:rsid w:val="00DC37FD"/>
    <w:pPr>
      <w:spacing w:after="520" w:line="220" w:lineRule="exact"/>
      <w:ind w:firstLine="0"/>
    </w:pPr>
    <w:rPr>
      <w:i/>
      <w:noProof/>
      <w:sz w:val="18"/>
    </w:rPr>
  </w:style>
  <w:style w:type="paragraph" w:customStyle="1" w:styleId="Abstract">
    <w:name w:val="Abstract"/>
    <w:basedOn w:val="small"/>
    <w:rsid w:val="00DC37FD"/>
    <w:pPr>
      <w:spacing w:after="260"/>
      <w:ind w:left="1100" w:hanging="1100"/>
    </w:pPr>
  </w:style>
  <w:style w:type="paragraph" w:styleId="Title">
    <w:name w:val="Title"/>
    <w:aliases w:val="ttl"/>
    <w:basedOn w:val="Normal"/>
    <w:next w:val="Normal"/>
    <w:qFormat/>
    <w:rsid w:val="00DC37FD"/>
    <w:pPr>
      <w:spacing w:line="340" w:lineRule="exact"/>
      <w:ind w:firstLine="0"/>
      <w:jc w:val="left"/>
    </w:pPr>
    <w:rPr>
      <w:b/>
      <w:caps/>
      <w:noProof/>
      <w:sz w:val="30"/>
    </w:rPr>
  </w:style>
  <w:style w:type="paragraph" w:customStyle="1" w:styleId="HeadingMath">
    <w:name w:val="HeadingMath"/>
    <w:basedOn w:val="Normal"/>
    <w:next w:val="Normal"/>
    <w:rsid w:val="00DC37FD"/>
    <w:pPr>
      <w:keepNext/>
      <w:spacing w:before="260"/>
      <w:ind w:firstLine="0"/>
      <w:jc w:val="left"/>
    </w:pPr>
    <w:rPr>
      <w:smallCaps/>
    </w:rPr>
  </w:style>
  <w:style w:type="paragraph" w:customStyle="1" w:styleId="BlockQuote">
    <w:name w:val="BlockQuote"/>
    <w:basedOn w:val="Normal"/>
    <w:rsid w:val="00DC37FD"/>
    <w:pPr>
      <w:spacing w:before="120" w:after="140"/>
      <w:ind w:left="300" w:firstLine="0"/>
    </w:pPr>
  </w:style>
  <w:style w:type="paragraph" w:customStyle="1" w:styleId="LISTnum">
    <w:name w:val="LISTnum"/>
    <w:basedOn w:val="Normal"/>
    <w:rsid w:val="00DC37FD"/>
    <w:pPr>
      <w:ind w:left="302" w:hanging="302"/>
    </w:pPr>
  </w:style>
  <w:style w:type="paragraph" w:customStyle="1" w:styleId="LISTalph">
    <w:name w:val="LISTalph"/>
    <w:basedOn w:val="Normal"/>
    <w:rsid w:val="00DC37FD"/>
    <w:pPr>
      <w:ind w:left="302" w:hanging="302"/>
    </w:pPr>
  </w:style>
  <w:style w:type="paragraph" w:customStyle="1" w:styleId="LISTdash">
    <w:name w:val="LISTdash"/>
    <w:basedOn w:val="LISTalph"/>
    <w:rsid w:val="00DC37FD"/>
  </w:style>
  <w:style w:type="paragraph" w:customStyle="1" w:styleId="Motto">
    <w:name w:val="Motto"/>
    <w:basedOn w:val="small"/>
    <w:next w:val="Heading1"/>
    <w:rsid w:val="00DC37FD"/>
    <w:pPr>
      <w:spacing w:before="360" w:after="360"/>
      <w:ind w:left="1559"/>
      <w:jc w:val="right"/>
    </w:pPr>
  </w:style>
  <w:style w:type="paragraph" w:customStyle="1" w:styleId="Figure">
    <w:name w:val="Figure"/>
    <w:basedOn w:val="Normal"/>
    <w:next w:val="Caption"/>
    <w:rsid w:val="00DC37FD"/>
    <w:pPr>
      <w:keepNext/>
      <w:spacing w:before="480" w:after="240" w:line="240" w:lineRule="auto"/>
      <w:ind w:firstLine="0"/>
      <w:jc w:val="center"/>
    </w:pPr>
  </w:style>
  <w:style w:type="paragraph" w:styleId="Caption">
    <w:name w:val="caption"/>
    <w:basedOn w:val="small"/>
    <w:next w:val="Table"/>
    <w:qFormat/>
    <w:rsid w:val="00DC37FD"/>
  </w:style>
  <w:style w:type="paragraph" w:customStyle="1" w:styleId="Table">
    <w:name w:val="Table"/>
    <w:basedOn w:val="small"/>
    <w:rsid w:val="00DC37FD"/>
    <w:pPr>
      <w:jc w:val="left"/>
    </w:pPr>
  </w:style>
  <w:style w:type="paragraph" w:customStyle="1" w:styleId="Equation">
    <w:name w:val="Equation"/>
    <w:basedOn w:val="Normal"/>
    <w:rsid w:val="00DC37FD"/>
    <w:pPr>
      <w:tabs>
        <w:tab w:val="right" w:pos="6700"/>
      </w:tabs>
      <w:spacing w:before="260" w:after="260" w:line="240" w:lineRule="auto"/>
      <w:ind w:left="360" w:firstLine="0"/>
    </w:pPr>
  </w:style>
  <w:style w:type="paragraph" w:customStyle="1" w:styleId="HeadingOther">
    <w:name w:val="HeadingOther"/>
    <w:basedOn w:val="Heading1"/>
    <w:next w:val="Normal"/>
    <w:rsid w:val="00DC37FD"/>
    <w:pPr>
      <w:numPr>
        <w:numId w:val="0"/>
      </w:numPr>
      <w:ind w:left="900" w:hanging="900"/>
      <w:outlineLvl w:val="9"/>
    </w:pPr>
  </w:style>
  <w:style w:type="paragraph" w:customStyle="1" w:styleId="Notes">
    <w:name w:val="Notes"/>
    <w:basedOn w:val="small"/>
    <w:rsid w:val="00DC37FD"/>
    <w:pPr>
      <w:ind w:left="240" w:hanging="240"/>
    </w:pPr>
  </w:style>
  <w:style w:type="paragraph" w:styleId="EndnoteText">
    <w:name w:val="endnote text"/>
    <w:basedOn w:val="small"/>
    <w:semiHidden/>
    <w:rsid w:val="00DC37FD"/>
    <w:pPr>
      <w:ind w:left="240" w:hanging="240"/>
    </w:pPr>
  </w:style>
  <w:style w:type="character" w:styleId="EndnoteReference">
    <w:name w:val="endnote reference"/>
    <w:basedOn w:val="DefaultParagraphFont"/>
    <w:semiHidden/>
    <w:rsid w:val="00DC37FD"/>
    <w:rPr>
      <w:vertAlign w:val="superscript"/>
    </w:rPr>
  </w:style>
  <w:style w:type="paragraph" w:customStyle="1" w:styleId="References">
    <w:name w:val="References"/>
    <w:basedOn w:val="small"/>
    <w:rsid w:val="00DC37FD"/>
    <w:pPr>
      <w:ind w:left="238" w:hanging="238"/>
    </w:pPr>
  </w:style>
  <w:style w:type="character" w:customStyle="1" w:styleId="capLabel">
    <w:name w:val="capLabel"/>
    <w:basedOn w:val="DefaultParagraphFont"/>
    <w:rsid w:val="00DC37FD"/>
    <w:rPr>
      <w:i/>
      <w:vertAlign w:val="baseline"/>
    </w:rPr>
  </w:style>
  <w:style w:type="paragraph" w:customStyle="1" w:styleId="LISTcont">
    <w:name w:val="LISTcont"/>
    <w:basedOn w:val="LISTalph"/>
    <w:rsid w:val="00DC37FD"/>
    <w:pPr>
      <w:numPr>
        <w:ilvl w:val="0"/>
        <w:numId w:val="0"/>
      </w:numPr>
      <w:ind w:left="302"/>
    </w:pPr>
  </w:style>
  <w:style w:type="paragraph" w:customStyle="1" w:styleId="LISTbullet">
    <w:name w:val="LISTbullet"/>
    <w:basedOn w:val="LISTdash"/>
    <w:rsid w:val="00DC37FD"/>
    <w:pPr>
      <w:numPr>
        <w:ilvl w:val="0"/>
        <w:numId w:val="34"/>
      </w:numPr>
      <w:tabs>
        <w:tab w:val="clear" w:pos="360"/>
        <w:tab w:val="left" w:pos="302"/>
      </w:tabs>
      <w:ind w:left="302" w:hanging="302"/>
    </w:pPr>
  </w:style>
  <w:style w:type="paragraph" w:customStyle="1" w:styleId="KeyWords">
    <w:name w:val="KeyWords"/>
    <w:basedOn w:val="Abstract"/>
    <w:rsid w:val="00DC37FD"/>
  </w:style>
  <w:style w:type="paragraph" w:customStyle="1" w:styleId="SchemeNumber">
    <w:name w:val="SchemeNumber"/>
    <w:basedOn w:val="Equation"/>
    <w:next w:val="Normal"/>
    <w:rsid w:val="00DC37FD"/>
    <w:pPr>
      <w:spacing w:before="100"/>
      <w:ind w:left="0"/>
      <w:jc w:val="center"/>
    </w:pPr>
    <w:rPr>
      <w:b/>
    </w:rPr>
  </w:style>
  <w:style w:type="paragraph" w:customStyle="1" w:styleId="Scheme">
    <w:name w:val="Scheme"/>
    <w:basedOn w:val="SchemeNumber"/>
    <w:next w:val="SchemeNumber"/>
    <w:rsid w:val="00DC37FD"/>
    <w:pPr>
      <w:keepNext/>
      <w:spacing w:before="260" w:after="40"/>
    </w:pPr>
  </w:style>
  <w:style w:type="character" w:customStyle="1" w:styleId="HeaderChar">
    <w:name w:val="Header Char"/>
    <w:basedOn w:val="DefaultParagraphFont"/>
    <w:link w:val="Header"/>
    <w:uiPriority w:val="99"/>
    <w:rsid w:val="007E464A"/>
    <w:rPr>
      <w:i/>
      <w:noProof/>
      <w:sz w:val="22"/>
      <w:lang w:val="en-US"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oleObject" Target="embeddings/oleObject10.bin"/><Relationship Id="rId39" Type="http://schemas.openxmlformats.org/officeDocument/2006/relationships/oleObject" Target="embeddings/oleObject18.bin"/><Relationship Id="rId3" Type="http://schemas.openxmlformats.org/officeDocument/2006/relationships/settings" Target="settings.xml"/><Relationship Id="rId21" Type="http://schemas.openxmlformats.org/officeDocument/2006/relationships/oleObject" Target="embeddings/oleObject7.bin"/><Relationship Id="rId34" Type="http://schemas.openxmlformats.org/officeDocument/2006/relationships/image" Target="media/image13.wmf"/><Relationship Id="rId42" Type="http://schemas.openxmlformats.org/officeDocument/2006/relationships/image" Target="media/image18.wmf"/><Relationship Id="rId47"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5.bin"/><Relationship Id="rId38" Type="http://schemas.openxmlformats.org/officeDocument/2006/relationships/image" Target="media/image15.wmf"/><Relationship Id="rId46" Type="http://schemas.openxmlformats.org/officeDocument/2006/relationships/hyperlink" Target="http://www.springerlink.com/content/c23h4247325h6544/?p=aa2cec42b5c040b0894240584ed5472e&amp;pi=1" TargetMode="Externa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3.bin"/><Relationship Id="rId41" Type="http://schemas.openxmlformats.org/officeDocument/2006/relationships/image" Target="media/image17.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10.wmf"/><Relationship Id="rId32" Type="http://schemas.openxmlformats.org/officeDocument/2006/relationships/image" Target="media/image12.wmf"/><Relationship Id="rId37" Type="http://schemas.openxmlformats.org/officeDocument/2006/relationships/oleObject" Target="embeddings/oleObject17.bin"/><Relationship Id="rId40" Type="http://schemas.openxmlformats.org/officeDocument/2006/relationships/image" Target="media/image16.wmf"/><Relationship Id="rId45" Type="http://schemas.openxmlformats.org/officeDocument/2006/relationships/image" Target="media/image21.png"/><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2.bin"/><Relationship Id="rId36" Type="http://schemas.openxmlformats.org/officeDocument/2006/relationships/image" Target="media/image14.wmf"/><Relationship Id="rId49"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oleObject" Target="embeddings/oleObject6.bin"/><Relationship Id="rId31" Type="http://schemas.openxmlformats.org/officeDocument/2006/relationships/oleObject" Target="embeddings/oleObject14.bin"/><Relationship Id="rId44"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1.wmf"/><Relationship Id="rId35" Type="http://schemas.openxmlformats.org/officeDocument/2006/relationships/oleObject" Target="embeddings/oleObject16.bin"/><Relationship Id="rId43" Type="http://schemas.openxmlformats.org/officeDocument/2006/relationships/image" Target="media/image19.wmf"/><Relationship Id="rId48" Type="http://schemas.openxmlformats.org/officeDocument/2006/relationships/fontTable" Target="fontTable.xml"/><Relationship Id="rId8"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e%20Watson\Application%20Data\Microsoft\Templates\vbaKAPedv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vbaKAPedvo</Template>
  <TotalTime>0</TotalTime>
  <Pages>17</Pages>
  <Words>4429</Words>
  <Characters>25249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In working with pre-service teachers our practice is to start with mathematical tasks</vt:lpstr>
    </vt:vector>
  </TitlesOfParts>
  <Company>Microsoft</Company>
  <LinksUpToDate>false</LinksUpToDate>
  <CharactersWithSpaces>29619</CharactersWithSpaces>
  <SharedDoc>false</SharedDoc>
  <HLinks>
    <vt:vector size="6" baseType="variant">
      <vt:variant>
        <vt:i4>720902</vt:i4>
      </vt:variant>
      <vt:variant>
        <vt:i4>45</vt:i4>
      </vt:variant>
      <vt:variant>
        <vt:i4>0</vt:i4>
      </vt:variant>
      <vt:variant>
        <vt:i4>5</vt:i4>
      </vt:variant>
      <vt:variant>
        <vt:lpwstr>http://www.springerlink.com/content/c23h4247325h6544/?p=aa2cec42b5c040b0894240584ed5472e&amp;pi=1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working with pre-service teachers our practice is to start with mathematical tasks</dc:title>
  <dc:creator>AW</dc:creator>
  <cp:lastModifiedBy>Anne Watson</cp:lastModifiedBy>
  <cp:revision>3</cp:revision>
  <dcterms:created xsi:type="dcterms:W3CDTF">2015-10-30T17:21:00Z</dcterms:created>
  <dcterms:modified xsi:type="dcterms:W3CDTF">2015-10-30T17:21:00Z</dcterms:modified>
</cp:coreProperties>
</file>