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BE" w:rsidRPr="00FC612A" w:rsidRDefault="002C01BE" w:rsidP="00EF03BE">
      <w:pPr>
        <w:pStyle w:val="BSRLMArticleTitle"/>
        <w:rPr>
          <w:smallCaps/>
        </w:rPr>
      </w:pPr>
      <w:r>
        <w:t>Research impact: a BSRLM discussion</w:t>
      </w:r>
    </w:p>
    <w:p w:rsidR="009B7E7C" w:rsidRPr="009B7E7C" w:rsidRDefault="009B7E7C" w:rsidP="009B7E7C">
      <w:pPr>
        <w:pStyle w:val="BSRLMAffiliation"/>
      </w:pPr>
      <w:r w:rsidRPr="009B7E7C">
        <w:t xml:space="preserve">Notes by Anne Watson  </w:t>
      </w:r>
    </w:p>
    <w:p w:rsidR="009B7E7C" w:rsidRDefault="009B7E7C" w:rsidP="009B7E7C">
      <w:pPr>
        <w:pStyle w:val="BSRLMAffiliation"/>
      </w:pPr>
    </w:p>
    <w:p w:rsidR="009B7E7C" w:rsidRDefault="009B7E7C" w:rsidP="009B7E7C">
      <w:pPr>
        <w:pStyle w:val="BSRLMAffiliation"/>
        <w:rPr>
          <w:i/>
        </w:rPr>
      </w:pPr>
      <w:r w:rsidRPr="009B7E7C">
        <w:rPr>
          <w:i/>
        </w:rPr>
        <w:t>Department of Education, University of Oxford</w:t>
      </w:r>
    </w:p>
    <w:p w:rsidR="002C01BE" w:rsidRPr="002C01BE" w:rsidRDefault="002C01BE" w:rsidP="002C01BE">
      <w:pPr>
        <w:pStyle w:val="BSRLMAbstract"/>
      </w:pPr>
      <w:r>
        <w:t>These notes report key ideas in a discussion about the impact of practice on research and research on practice.</w:t>
      </w:r>
    </w:p>
    <w:p w:rsidR="00CF58ED" w:rsidRPr="002C01BE" w:rsidRDefault="00EF03BE" w:rsidP="002C01BE">
      <w:pPr>
        <w:pStyle w:val="BSRLMKeywords"/>
        <w:rPr>
          <w:szCs w:val="21"/>
        </w:rPr>
      </w:pPr>
      <w:r w:rsidRPr="00FC612A">
        <w:rPr>
          <w:szCs w:val="21"/>
        </w:rPr>
        <w:t xml:space="preserve">Keywords: </w:t>
      </w:r>
      <w:r w:rsidR="002C01BE">
        <w:rPr>
          <w:szCs w:val="21"/>
        </w:rPr>
        <w:t>impact, research proposals, teacher research, research and practice</w:t>
      </w:r>
    </w:p>
    <w:p w:rsidR="002C01BE" w:rsidRDefault="002C01BE" w:rsidP="002C01BE">
      <w:pPr>
        <w:pStyle w:val="BSRLMHeading1"/>
      </w:pPr>
      <w:r>
        <w:t>Orientating questions</w:t>
      </w:r>
    </w:p>
    <w:p w:rsidR="002C01BE" w:rsidRDefault="002C01BE" w:rsidP="002C01BE">
      <w:pPr>
        <w:pStyle w:val="BSRLMBodyText"/>
        <w:numPr>
          <w:ilvl w:val="0"/>
          <w:numId w:val="23"/>
        </w:numPr>
      </w:pPr>
      <w:r>
        <w:t>In what ways can practice impact on research?</w:t>
      </w:r>
    </w:p>
    <w:p w:rsidR="002C01BE" w:rsidRDefault="002C01BE" w:rsidP="002C01BE">
      <w:pPr>
        <w:pStyle w:val="BSRLMBodyText"/>
        <w:numPr>
          <w:ilvl w:val="0"/>
          <w:numId w:val="23"/>
        </w:numPr>
      </w:pPr>
      <w:r>
        <w:t>In what ways can research impact on practice?</w:t>
      </w:r>
    </w:p>
    <w:p w:rsidR="002C01BE" w:rsidRDefault="002C01BE" w:rsidP="002C01BE">
      <w:pPr>
        <w:pStyle w:val="BSRLMBodyText"/>
        <w:numPr>
          <w:ilvl w:val="0"/>
          <w:numId w:val="23"/>
        </w:numPr>
      </w:pPr>
      <w:r>
        <w:t>In what ways can such impact be evidenced?</w:t>
      </w:r>
    </w:p>
    <w:p w:rsidR="002C01BE" w:rsidRDefault="002C01BE" w:rsidP="002C01BE">
      <w:pPr>
        <w:pStyle w:val="BSRLMBodyText"/>
      </w:pPr>
    </w:p>
    <w:p w:rsidR="002C01BE" w:rsidRDefault="002C01BE" w:rsidP="002C01BE">
      <w:pPr>
        <w:pStyle w:val="BSRLMBodyText"/>
      </w:pPr>
      <w:r>
        <w:t>We also looked at five research proposals which had been successful or had been praised for their treatment of impact.</w:t>
      </w:r>
    </w:p>
    <w:p w:rsidR="002C01BE" w:rsidRDefault="00027BDA" w:rsidP="00027BDA">
      <w:pPr>
        <w:pStyle w:val="BSRLMHeading1"/>
      </w:pPr>
      <w:r>
        <w:t>The impact of practice on research</w:t>
      </w:r>
    </w:p>
    <w:p w:rsidR="00027BDA" w:rsidRDefault="00027BDA" w:rsidP="00027BDA">
      <w:pPr>
        <w:pStyle w:val="BSRLMBodyText"/>
      </w:pPr>
      <w:r>
        <w:t>We spent most time talking ab</w:t>
      </w:r>
      <w:r w:rsidR="00AB17A8">
        <w:t>out this question, because it was felt that this is</w:t>
      </w:r>
      <w:r>
        <w:t xml:space="preserve"> the aspect of the research-practice relation least discussed. It is more usual to raise questions about why research does not impact more strongly on practice. There was vigorous discussion among the researchers and teachers present. Teachers and teacher-researchers present suggested that, for research to make an impact, it neede</w:t>
      </w:r>
      <w:r w:rsidR="00AB17A8">
        <w:t xml:space="preserve">d to address real questions, </w:t>
      </w:r>
      <w:r>
        <w:t>issues</w:t>
      </w:r>
      <w:r w:rsidR="00AB17A8">
        <w:t xml:space="preserve"> and excitements</w:t>
      </w:r>
      <w:r>
        <w:t xml:space="preserve"> that teachers have, so that </w:t>
      </w:r>
      <w:r w:rsidR="00AB17A8">
        <w:t>current practice is recognisable in, and enhanced by, research findings</w:t>
      </w:r>
      <w:r>
        <w:t xml:space="preserve">. </w:t>
      </w:r>
    </w:p>
    <w:p w:rsidR="00027BDA" w:rsidRDefault="00027BDA" w:rsidP="00027BDA">
      <w:pPr>
        <w:pStyle w:val="BSRLMBodyText"/>
      </w:pPr>
      <w:r>
        <w:t xml:space="preserve">It was generally agreed that researchers who are not teachers could engage teachers in their research plans at various stages. The examples of proposals showed engagement in the preparation of proposals in several ways: </w:t>
      </w:r>
      <w:r w:rsidR="000A3451">
        <w:t>raising the original questions and concerns; contributing practice wisdom to initial theory-forming; co-planning pilot studies; co-production of materials; co-planning interventions; teachers approaching researchers to suggest research. The least ‘teacher-engaged’ proposal we looked at had the model of researchers approaching teachers to find out their views and practices before designing an intervention, but the original question derived solely from the researchers’ concerns.</w:t>
      </w:r>
    </w:p>
    <w:p w:rsidR="000A3451" w:rsidRDefault="000A3451" w:rsidP="000A3451">
      <w:pPr>
        <w:pStyle w:val="BSRLMHeading1"/>
      </w:pPr>
      <w:r>
        <w:t>Models of mutual engagement</w:t>
      </w:r>
    </w:p>
    <w:p w:rsidR="000A3451" w:rsidRDefault="000A3451" w:rsidP="000A3451">
      <w:pPr>
        <w:pStyle w:val="BSRLMBodyText"/>
      </w:pPr>
      <w:r>
        <w:t>As well as ad hoc arrangements arising from networking, we recognised that researcher/teacher partnerships can be more organised in a variety of ways:</w:t>
      </w:r>
    </w:p>
    <w:p w:rsidR="000A3451" w:rsidRDefault="000A3451" w:rsidP="000A3451">
      <w:pPr>
        <w:pStyle w:val="BSRLMBodyText"/>
        <w:numPr>
          <w:ilvl w:val="0"/>
          <w:numId w:val="25"/>
        </w:numPr>
      </w:pPr>
      <w:r>
        <w:t>Partnerships which exist primarily for initial teacher training can also be research partnerships</w:t>
      </w:r>
    </w:p>
    <w:p w:rsidR="000A3451" w:rsidRDefault="000A3451" w:rsidP="000A3451">
      <w:pPr>
        <w:pStyle w:val="BSRLMBodyText"/>
        <w:numPr>
          <w:ilvl w:val="0"/>
          <w:numId w:val="25"/>
        </w:numPr>
      </w:pPr>
      <w:r>
        <w:t>University practice schools, such as those in Finland, provide a site for research</w:t>
      </w:r>
    </w:p>
    <w:p w:rsidR="000A3451" w:rsidRDefault="000A3451" w:rsidP="000A3451">
      <w:pPr>
        <w:pStyle w:val="BSRLMBodyText"/>
        <w:numPr>
          <w:ilvl w:val="0"/>
          <w:numId w:val="25"/>
        </w:numPr>
      </w:pPr>
      <w:r>
        <w:lastRenderedPageBreak/>
        <w:t xml:space="preserve">Teacher </w:t>
      </w:r>
      <w:r w:rsidR="000F7ADC">
        <w:t xml:space="preserve">educators in HEI </w:t>
      </w:r>
      <w:r>
        <w:t>provide a research/practice interface role</w:t>
      </w:r>
      <w:r w:rsidR="000F7ADC">
        <w:t>, whatever the level of their own research activity</w:t>
      </w:r>
    </w:p>
    <w:p w:rsidR="000A3451" w:rsidRDefault="000F7ADC" w:rsidP="000A3451">
      <w:pPr>
        <w:pStyle w:val="BSRLMBodyText"/>
        <w:numPr>
          <w:ilvl w:val="0"/>
          <w:numId w:val="25"/>
        </w:numPr>
      </w:pPr>
      <w:r>
        <w:t xml:space="preserve">Teacher-research studentships </w:t>
      </w:r>
    </w:p>
    <w:p w:rsidR="000F7ADC" w:rsidRDefault="000F7ADC" w:rsidP="000A3451">
      <w:pPr>
        <w:pStyle w:val="BSRLMBodyText"/>
        <w:numPr>
          <w:ilvl w:val="0"/>
          <w:numId w:val="25"/>
        </w:numPr>
      </w:pPr>
      <w:r>
        <w:t>Teachers who have been educated in the value of research during their ITT are more likely to be interested and involved in research, and to want to work with researchers</w:t>
      </w:r>
    </w:p>
    <w:p w:rsidR="000F7ADC" w:rsidRDefault="000F7ADC" w:rsidP="000A3451">
      <w:pPr>
        <w:pStyle w:val="BSRLMBodyText"/>
        <w:numPr>
          <w:ilvl w:val="0"/>
          <w:numId w:val="25"/>
        </w:numPr>
      </w:pPr>
      <w:r>
        <w:t>Research projects that explicitly focus on building teacher/research communities</w:t>
      </w:r>
    </w:p>
    <w:p w:rsidR="000F7ADC" w:rsidRDefault="000F7ADC" w:rsidP="000F7ADC">
      <w:pPr>
        <w:pStyle w:val="BSRLMHeading1"/>
      </w:pPr>
      <w:r>
        <w:t>Difficulties and differences</w:t>
      </w:r>
    </w:p>
    <w:p w:rsidR="00300AE3" w:rsidRDefault="000F7ADC" w:rsidP="00300AE3">
      <w:pPr>
        <w:pStyle w:val="BSRLMBodyText"/>
      </w:pPr>
      <w:r>
        <w:t xml:space="preserve">Different communities have different ideas about what makes good research. For teachers, good research might be research which solves a practical problem, improves student learning, </w:t>
      </w:r>
      <w:r w:rsidR="00AB17A8">
        <w:t>offers tools which are new to them</w:t>
      </w:r>
      <w:r>
        <w:t xml:space="preserve">, and takes </w:t>
      </w:r>
      <w:r w:rsidR="00AB17A8">
        <w:t>their</w:t>
      </w:r>
      <w:r>
        <w:t xml:space="preserve"> knowledge, policy and practice into account. </w:t>
      </w:r>
      <w:r w:rsidR="00300AE3">
        <w:t>Researchers focusing on their own agenda do not necessarily locate the deepest drives and motives of teachers; triangulation is sometimes in the researcher’s terms rather than a process of getting at teachers’ or students’ interpretations.</w:t>
      </w:r>
    </w:p>
    <w:p w:rsidR="00027BDA" w:rsidRDefault="000F7ADC" w:rsidP="00300AE3">
      <w:pPr>
        <w:pStyle w:val="BSRLMBodyText"/>
      </w:pPr>
      <w:r>
        <w:t>For researchers, good research might be that which is publishable, which addresses current concerns in the research community, or which conforms to a particular kind of research design. The language used to talk about research is different in different communities, as is its authority and worth, and the associated drive and advocacy. The purposes of research might be different, depending on the political</w:t>
      </w:r>
      <w:r w:rsidR="00300AE3">
        <w:t xml:space="preserve">, </w:t>
      </w:r>
      <w:r>
        <w:t>social</w:t>
      </w:r>
      <w:r w:rsidR="00300AE3">
        <w:t xml:space="preserve"> and economic</w:t>
      </w:r>
      <w:r>
        <w:t xml:space="preserve"> motives of funders. Researchers </w:t>
      </w:r>
      <w:r w:rsidR="00300AE3">
        <w:t xml:space="preserve">may </w:t>
      </w:r>
      <w:r>
        <w:t>get their standing from contributing to a body of knowledge that might be considered esoteric</w:t>
      </w:r>
      <w:r w:rsidR="00300AE3">
        <w:t xml:space="preserve"> by teachers. It was suggested that the processes by which research comes to be funded and published can allow research to take place which is ignorant of practice and history, and that reviewers do not always take practice and history into account when assessing the worthwhileness of proposals and papers. Reasons for this were suggested, such as access to professional knowledge and practice when research is based only on literature searches of previously published research.</w:t>
      </w:r>
    </w:p>
    <w:p w:rsidR="002C01BE" w:rsidRDefault="00774643" w:rsidP="002C01BE">
      <w:pPr>
        <w:pStyle w:val="BSRLMHeading1"/>
      </w:pPr>
      <w:r>
        <w:t>Teachers’ research</w:t>
      </w:r>
    </w:p>
    <w:p w:rsidR="00774643" w:rsidRDefault="00774643" w:rsidP="00774643">
      <w:pPr>
        <w:pStyle w:val="BSRLMBodyText"/>
      </w:pPr>
      <w:r>
        <w:t>An obvious kind of research to mention is teachers’ own research into practice, in which the research focus arises from practice and teachers, supported by HEI, undertake action research. As well as informing their own practice, such research can be disseminated through professional journals and the NCETM portal. However, while this process disseminates research findings among teachers it does not ensure that such research impacts upon other research, or is accessible to the research community.  It does not appear systematically in literature searches and can hence be ignored by academic researchers, as can teachers’ professional knowledge that is reported in non-research contexts.</w:t>
      </w:r>
    </w:p>
    <w:p w:rsidR="00774643" w:rsidRDefault="00774643" w:rsidP="00774643">
      <w:pPr>
        <w:pStyle w:val="BSRLMHeading1"/>
      </w:pPr>
      <w:r>
        <w:t>Informing teachers about research in mathematics education</w:t>
      </w:r>
    </w:p>
    <w:p w:rsidR="00774643" w:rsidRDefault="00774643" w:rsidP="00774643">
      <w:pPr>
        <w:pStyle w:val="BSRLMBodyText"/>
      </w:pPr>
      <w:r>
        <w:t>There was a brief discussion about how teachers can be informed about mathematics education research. NCETM is currently developing ways to communicate the findings of seminal research studies for teachers succinctly. In doing so, they are aware that the teaching profession has a wealth of profes</w:t>
      </w:r>
      <w:r w:rsidR="00027BDA">
        <w:t xml:space="preserve">sional knowledge </w:t>
      </w:r>
      <w:r w:rsidR="00027BDA">
        <w:lastRenderedPageBreak/>
        <w:t xml:space="preserve">and experience, and dissemination methods need to recognise teacher knowledge and avoid sounding patronising, or positioning teachers as in need of change. </w:t>
      </w:r>
    </w:p>
    <w:p w:rsidR="00027BDA" w:rsidRDefault="00027BDA" w:rsidP="00027BDA">
      <w:pPr>
        <w:pStyle w:val="BSRLMHeading1"/>
      </w:pPr>
      <w:r>
        <w:t>Overview</w:t>
      </w:r>
    </w:p>
    <w:p w:rsidR="00AB17A8" w:rsidRDefault="00027BDA" w:rsidP="00027BDA">
      <w:pPr>
        <w:pStyle w:val="BSRLMBodyText"/>
      </w:pPr>
      <w:r>
        <w:t>There are many different kinds of research, and all of them can add to knowledge in mathematics education. Researchers of all kinds need to find out what is already known, and how, and by whom. Ideally, there would be seamless links between research carried out in HEI and the teaching profession.</w:t>
      </w:r>
      <w:r w:rsidR="00F84958">
        <w:t xml:space="preserve"> Reviewers of research proposals and papers can consider the importance of practitioner-knowledge.</w:t>
      </w:r>
    </w:p>
    <w:p w:rsidR="00027BDA" w:rsidRDefault="00027BDA" w:rsidP="00027BDA">
      <w:pPr>
        <w:pStyle w:val="BSRLMBodyText"/>
      </w:pPr>
      <w:r>
        <w:t>The roles of BSRLM and NCETM</w:t>
      </w:r>
      <w:r w:rsidR="00AB17A8">
        <w:t xml:space="preserve"> in this are not all clear; </w:t>
      </w:r>
      <w:r>
        <w:t>the NCETM HEI Advisory Committee</w:t>
      </w:r>
      <w:r w:rsidR="00AB17A8">
        <w:t xml:space="preserve"> is making some progress in the area of promoting teacher research and making research accessible for teachers</w:t>
      </w:r>
      <w:r>
        <w:t>.</w:t>
      </w:r>
      <w:r w:rsidR="00AB17A8">
        <w:t xml:space="preserve"> It is less clear what would be needed to encourage researchers to communicate with teachers at the formation stages of their research, and to locate sources of practical knowledge and wisdom.</w:t>
      </w:r>
      <w:r w:rsidR="00F84958">
        <w:t xml:space="preserve"> A major question is whether published teacher-knowledge can be located using search engines.</w:t>
      </w:r>
    </w:p>
    <w:p w:rsidR="00AB17A8" w:rsidRDefault="00AB17A8" w:rsidP="00027BDA">
      <w:pPr>
        <w:pStyle w:val="BSRLMBodyText"/>
      </w:pPr>
      <w:r>
        <w:t>There are many examples of the role of school/HEI partnerships in the development of mathematics education research.</w:t>
      </w:r>
    </w:p>
    <w:p w:rsidR="00F84958" w:rsidRDefault="00F84958" w:rsidP="00027BDA">
      <w:pPr>
        <w:pStyle w:val="BSRLMBodyText"/>
      </w:pPr>
      <w:r>
        <w:t>For the purposes of REF, it was recognised that actual impact on practice and policy may be impossible to predict – what most proposals talk about is dissemination. However, engagement of users at the formation stages of research, so that questions are informed by practice and policy concerns, means that impact is more likely. It was also recognised that this approach can trap research into tinkering with what happens already, rather than allowing ‘blue skies’ ideas to be developed by teachers and researchers together.</w:t>
      </w:r>
    </w:p>
    <w:p w:rsidR="00774643" w:rsidRDefault="00774643" w:rsidP="00774643">
      <w:pPr>
        <w:pStyle w:val="BSRLMHeading1"/>
      </w:pPr>
    </w:p>
    <w:p w:rsidR="00774643" w:rsidRDefault="00774643" w:rsidP="00774643">
      <w:pPr>
        <w:pStyle w:val="BSRLMBodyText"/>
      </w:pPr>
    </w:p>
    <w:p w:rsidR="00774643" w:rsidRPr="00FC612A" w:rsidRDefault="00774643" w:rsidP="00300AE3">
      <w:pPr>
        <w:pStyle w:val="BSRLMBodyText"/>
      </w:pPr>
    </w:p>
    <w:sectPr w:rsidR="00774643" w:rsidRPr="00FC612A" w:rsidSect="00EF03BE">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D12" w:rsidRDefault="00AB5D12">
      <w:r>
        <w:separator/>
      </w:r>
    </w:p>
  </w:endnote>
  <w:endnote w:type="continuationSeparator" w:id="0">
    <w:p w:rsidR="00AB5D12" w:rsidRDefault="00AB5D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452" w:rsidRPr="00702BD5" w:rsidRDefault="00F75452" w:rsidP="00EF0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D12" w:rsidRDefault="00AB5D12">
      <w:r>
        <w:separator/>
      </w:r>
    </w:p>
  </w:footnote>
  <w:footnote w:type="continuationSeparator" w:id="0">
    <w:p w:rsidR="00AB5D12" w:rsidRDefault="00AB5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452" w:rsidRDefault="00F75452">
    <w:pPr>
      <w:pStyle w:val="Header"/>
    </w:pPr>
    <w:r w:rsidRPr="00702BD5">
      <w:rPr>
        <w:rFonts w:ascii="Arial" w:hAnsi="Arial"/>
        <w:sz w:val="16"/>
        <w:szCs w:val="16"/>
      </w:rPr>
      <w:t>Joubert, M. (Ed.) Proceedings of the British Society for Research into Learning Mathematics 29(1) March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1D47C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FC25E52"/>
    <w:lvl w:ilvl="0">
      <w:start w:val="1"/>
      <w:numFmt w:val="decimal"/>
      <w:lvlText w:val="%1."/>
      <w:lvlJc w:val="left"/>
      <w:pPr>
        <w:tabs>
          <w:tab w:val="num" w:pos="1492"/>
        </w:tabs>
        <w:ind w:left="1492" w:hanging="360"/>
      </w:pPr>
    </w:lvl>
  </w:abstractNum>
  <w:abstractNum w:abstractNumId="2">
    <w:nsid w:val="FFFFFF7D"/>
    <w:multiLevelType w:val="singleLevel"/>
    <w:tmpl w:val="7780C67C"/>
    <w:lvl w:ilvl="0">
      <w:start w:val="1"/>
      <w:numFmt w:val="decimal"/>
      <w:lvlText w:val="%1."/>
      <w:lvlJc w:val="left"/>
      <w:pPr>
        <w:tabs>
          <w:tab w:val="num" w:pos="1209"/>
        </w:tabs>
        <w:ind w:left="1209" w:hanging="360"/>
      </w:pPr>
    </w:lvl>
  </w:abstractNum>
  <w:abstractNum w:abstractNumId="3">
    <w:nsid w:val="FFFFFF7E"/>
    <w:multiLevelType w:val="singleLevel"/>
    <w:tmpl w:val="4B3818AA"/>
    <w:lvl w:ilvl="0">
      <w:start w:val="1"/>
      <w:numFmt w:val="decimal"/>
      <w:lvlText w:val="%1."/>
      <w:lvlJc w:val="left"/>
      <w:pPr>
        <w:tabs>
          <w:tab w:val="num" w:pos="926"/>
        </w:tabs>
        <w:ind w:left="926" w:hanging="360"/>
      </w:pPr>
    </w:lvl>
  </w:abstractNum>
  <w:abstractNum w:abstractNumId="4">
    <w:nsid w:val="FFFFFF7F"/>
    <w:multiLevelType w:val="singleLevel"/>
    <w:tmpl w:val="559E1F68"/>
    <w:lvl w:ilvl="0">
      <w:start w:val="1"/>
      <w:numFmt w:val="decimal"/>
      <w:lvlText w:val="%1."/>
      <w:lvlJc w:val="left"/>
      <w:pPr>
        <w:tabs>
          <w:tab w:val="num" w:pos="643"/>
        </w:tabs>
        <w:ind w:left="643" w:hanging="360"/>
      </w:pPr>
    </w:lvl>
  </w:abstractNum>
  <w:abstractNum w:abstractNumId="5">
    <w:nsid w:val="FFFFFF80"/>
    <w:multiLevelType w:val="singleLevel"/>
    <w:tmpl w:val="78C46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74F92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F40C9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5D876A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FEE48F6"/>
    <w:lvl w:ilvl="0">
      <w:start w:val="1"/>
      <w:numFmt w:val="decimal"/>
      <w:lvlText w:val="%1."/>
      <w:lvlJc w:val="left"/>
      <w:pPr>
        <w:tabs>
          <w:tab w:val="num" w:pos="360"/>
        </w:tabs>
        <w:ind w:left="360" w:hanging="360"/>
      </w:pPr>
    </w:lvl>
  </w:abstractNum>
  <w:abstractNum w:abstractNumId="10">
    <w:nsid w:val="FFFFFF89"/>
    <w:multiLevelType w:val="singleLevel"/>
    <w:tmpl w:val="3EC0A3B2"/>
    <w:lvl w:ilvl="0">
      <w:start w:val="1"/>
      <w:numFmt w:val="bullet"/>
      <w:lvlText w:val=""/>
      <w:lvlJc w:val="left"/>
      <w:pPr>
        <w:tabs>
          <w:tab w:val="num" w:pos="360"/>
        </w:tabs>
        <w:ind w:left="360" w:hanging="360"/>
      </w:pPr>
      <w:rPr>
        <w:rFonts w:ascii="Symbol" w:hAnsi="Symbol" w:hint="default"/>
      </w:rPr>
    </w:lvl>
  </w:abstractNum>
  <w:abstractNum w:abstractNumId="11">
    <w:nsid w:val="12004F00"/>
    <w:multiLevelType w:val="hybridMultilevel"/>
    <w:tmpl w:val="35D8EAB2"/>
    <w:lvl w:ilvl="0" w:tplc="003AE8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BB763B3"/>
    <w:multiLevelType w:val="hybridMultilevel"/>
    <w:tmpl w:val="23B6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F56471"/>
    <w:multiLevelType w:val="hybridMultilevel"/>
    <w:tmpl w:val="0D98E26C"/>
    <w:lvl w:ilvl="0" w:tplc="A6163BBA">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9094C5F"/>
    <w:multiLevelType w:val="hybridMultilevel"/>
    <w:tmpl w:val="2BAA7FB4"/>
    <w:lvl w:ilvl="0" w:tplc="7AD83A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52D242E"/>
    <w:multiLevelType w:val="hybridMultilevel"/>
    <w:tmpl w:val="6C9A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8915A8"/>
    <w:multiLevelType w:val="hybridMultilevel"/>
    <w:tmpl w:val="21EA56CC"/>
    <w:lvl w:ilvl="0" w:tplc="8458C554">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0C55E1F"/>
    <w:multiLevelType w:val="hybridMultilevel"/>
    <w:tmpl w:val="2662F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28C0BC4"/>
    <w:multiLevelType w:val="hybridMultilevel"/>
    <w:tmpl w:val="1F962B2A"/>
    <w:lvl w:ilvl="0" w:tplc="BA24BE08">
      <w:start w:val="1"/>
      <w:numFmt w:val="bullet"/>
      <w:lvlText w:val=""/>
      <w:lvlJc w:val="left"/>
      <w:pPr>
        <w:tabs>
          <w:tab w:val="num" w:pos="360"/>
        </w:tabs>
        <w:ind w:left="340" w:hanging="34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EAF20F6"/>
    <w:multiLevelType w:val="hybridMultilevel"/>
    <w:tmpl w:val="70724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C850745"/>
    <w:multiLevelType w:val="hybridMultilevel"/>
    <w:tmpl w:val="0CAEAA66"/>
    <w:lvl w:ilvl="0" w:tplc="000F0409">
      <w:start w:val="1"/>
      <w:numFmt w:val="bullet"/>
      <w:lvlText w:val=""/>
      <w:lvlJc w:val="left"/>
      <w:pPr>
        <w:tabs>
          <w:tab w:val="num" w:pos="1287"/>
        </w:tabs>
        <w:ind w:left="1287" w:hanging="360"/>
      </w:pPr>
      <w:rPr>
        <w:rFonts w:ascii="Symbol" w:hAnsi="Symbol" w:hint="default"/>
      </w:rPr>
    </w:lvl>
    <w:lvl w:ilvl="1" w:tplc="00190409" w:tentative="1">
      <w:start w:val="1"/>
      <w:numFmt w:val="bullet"/>
      <w:lvlText w:val="o"/>
      <w:lvlJc w:val="left"/>
      <w:pPr>
        <w:tabs>
          <w:tab w:val="num" w:pos="2007"/>
        </w:tabs>
        <w:ind w:left="2007" w:hanging="360"/>
      </w:pPr>
      <w:rPr>
        <w:rFonts w:ascii="Courier New" w:hAnsi="Courier New" w:hint="default"/>
      </w:rPr>
    </w:lvl>
    <w:lvl w:ilvl="2" w:tplc="001B0409" w:tentative="1">
      <w:start w:val="1"/>
      <w:numFmt w:val="bullet"/>
      <w:lvlText w:val=""/>
      <w:lvlJc w:val="left"/>
      <w:pPr>
        <w:tabs>
          <w:tab w:val="num" w:pos="2727"/>
        </w:tabs>
        <w:ind w:left="2727" w:hanging="360"/>
      </w:pPr>
      <w:rPr>
        <w:rFonts w:ascii="Symbol" w:hAnsi="Symbol" w:hint="default"/>
      </w:rPr>
    </w:lvl>
    <w:lvl w:ilvl="3" w:tplc="000F0409" w:tentative="1">
      <w:start w:val="1"/>
      <w:numFmt w:val="bullet"/>
      <w:lvlText w:val=""/>
      <w:lvlJc w:val="left"/>
      <w:pPr>
        <w:tabs>
          <w:tab w:val="num" w:pos="3447"/>
        </w:tabs>
        <w:ind w:left="3447" w:hanging="360"/>
      </w:pPr>
      <w:rPr>
        <w:rFonts w:ascii="Symbol" w:hAnsi="Symbol" w:hint="default"/>
      </w:rPr>
    </w:lvl>
    <w:lvl w:ilvl="4" w:tplc="00190409" w:tentative="1">
      <w:start w:val="1"/>
      <w:numFmt w:val="bullet"/>
      <w:lvlText w:val="o"/>
      <w:lvlJc w:val="left"/>
      <w:pPr>
        <w:tabs>
          <w:tab w:val="num" w:pos="4167"/>
        </w:tabs>
        <w:ind w:left="4167" w:hanging="360"/>
      </w:pPr>
      <w:rPr>
        <w:rFonts w:ascii="Courier New" w:hAnsi="Courier New" w:hint="default"/>
      </w:rPr>
    </w:lvl>
    <w:lvl w:ilvl="5" w:tplc="001B0409" w:tentative="1">
      <w:start w:val="1"/>
      <w:numFmt w:val="bullet"/>
      <w:lvlText w:val=""/>
      <w:lvlJc w:val="left"/>
      <w:pPr>
        <w:tabs>
          <w:tab w:val="num" w:pos="4887"/>
        </w:tabs>
        <w:ind w:left="4887" w:hanging="360"/>
      </w:pPr>
      <w:rPr>
        <w:rFonts w:ascii="Symbol" w:hAnsi="Symbol" w:hint="default"/>
      </w:rPr>
    </w:lvl>
    <w:lvl w:ilvl="6" w:tplc="000F0409" w:tentative="1">
      <w:start w:val="1"/>
      <w:numFmt w:val="bullet"/>
      <w:lvlText w:val=""/>
      <w:lvlJc w:val="left"/>
      <w:pPr>
        <w:tabs>
          <w:tab w:val="num" w:pos="5607"/>
        </w:tabs>
        <w:ind w:left="5607" w:hanging="360"/>
      </w:pPr>
      <w:rPr>
        <w:rFonts w:ascii="Symbol" w:hAnsi="Symbol" w:hint="default"/>
      </w:rPr>
    </w:lvl>
    <w:lvl w:ilvl="7" w:tplc="00190409" w:tentative="1">
      <w:start w:val="1"/>
      <w:numFmt w:val="bullet"/>
      <w:lvlText w:val="o"/>
      <w:lvlJc w:val="left"/>
      <w:pPr>
        <w:tabs>
          <w:tab w:val="num" w:pos="6327"/>
        </w:tabs>
        <w:ind w:left="6327" w:hanging="360"/>
      </w:pPr>
      <w:rPr>
        <w:rFonts w:ascii="Courier New" w:hAnsi="Courier New" w:hint="default"/>
      </w:rPr>
    </w:lvl>
    <w:lvl w:ilvl="8" w:tplc="001B0409" w:tentative="1">
      <w:start w:val="1"/>
      <w:numFmt w:val="bullet"/>
      <w:lvlText w:val=""/>
      <w:lvlJc w:val="left"/>
      <w:pPr>
        <w:tabs>
          <w:tab w:val="num" w:pos="7047"/>
        </w:tabs>
        <w:ind w:left="7047" w:hanging="360"/>
      </w:pPr>
      <w:rPr>
        <w:rFonts w:ascii="Symbol" w:hAnsi="Symbol" w:hint="default"/>
      </w:rPr>
    </w:lvl>
  </w:abstractNum>
  <w:abstractNum w:abstractNumId="21">
    <w:nsid w:val="737926B4"/>
    <w:multiLevelType w:val="hybridMultilevel"/>
    <w:tmpl w:val="EAFE9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3927CC1"/>
    <w:multiLevelType w:val="hybridMultilevel"/>
    <w:tmpl w:val="93BC3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A9B4FAF"/>
    <w:multiLevelType w:val="hybridMultilevel"/>
    <w:tmpl w:val="599A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1"/>
  </w:num>
  <w:num w:numId="5">
    <w:abstractNumId w:val="9"/>
  </w:num>
  <w:num w:numId="6">
    <w:abstractNumId w:val="4"/>
  </w:num>
  <w:num w:numId="7">
    <w:abstractNumId w:val="3"/>
  </w:num>
  <w:num w:numId="8">
    <w:abstractNumId w:val="2"/>
  </w:num>
  <w:num w:numId="9">
    <w:abstractNumId w:val="10"/>
  </w:num>
  <w:num w:numId="10">
    <w:abstractNumId w:val="7"/>
  </w:num>
  <w:num w:numId="11">
    <w:abstractNumId w:val="6"/>
  </w:num>
  <w:num w:numId="12">
    <w:abstractNumId w:val="5"/>
  </w:num>
  <w:num w:numId="13">
    <w:abstractNumId w:val="20"/>
  </w:num>
  <w:num w:numId="14">
    <w:abstractNumId w:val="18"/>
  </w:num>
  <w:num w:numId="15">
    <w:abstractNumId w:val="13"/>
  </w:num>
  <w:num w:numId="16">
    <w:abstractNumId w:val="16"/>
  </w:num>
  <w:num w:numId="17">
    <w:abstractNumId w:val="12"/>
  </w:num>
  <w:num w:numId="18">
    <w:abstractNumId w:val="15"/>
  </w:num>
  <w:num w:numId="19">
    <w:abstractNumId w:val="19"/>
  </w:num>
  <w:num w:numId="20">
    <w:abstractNumId w:val="23"/>
  </w:num>
  <w:num w:numId="21">
    <w:abstractNumId w:val="22"/>
  </w:num>
  <w:num w:numId="22">
    <w:abstractNumId w:val="21"/>
  </w:num>
  <w:num w:numId="23">
    <w:abstractNumId w:val="11"/>
  </w:num>
  <w:num w:numId="24">
    <w:abstractNumId w:val="14"/>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B2280"/>
    <w:rsid w:val="00022DDA"/>
    <w:rsid w:val="00027BDA"/>
    <w:rsid w:val="00032395"/>
    <w:rsid w:val="00033B6F"/>
    <w:rsid w:val="000344A9"/>
    <w:rsid w:val="0006229D"/>
    <w:rsid w:val="00082CF5"/>
    <w:rsid w:val="000A3451"/>
    <w:rsid w:val="000F7ADC"/>
    <w:rsid w:val="001B77F6"/>
    <w:rsid w:val="002C01BE"/>
    <w:rsid w:val="00300AE3"/>
    <w:rsid w:val="00444BB4"/>
    <w:rsid w:val="00454096"/>
    <w:rsid w:val="00704392"/>
    <w:rsid w:val="00774643"/>
    <w:rsid w:val="0078718B"/>
    <w:rsid w:val="007C1ED8"/>
    <w:rsid w:val="007F3514"/>
    <w:rsid w:val="00843333"/>
    <w:rsid w:val="008528DC"/>
    <w:rsid w:val="008A5F47"/>
    <w:rsid w:val="008E1068"/>
    <w:rsid w:val="008E1EB8"/>
    <w:rsid w:val="009B3A0C"/>
    <w:rsid w:val="009B7E7C"/>
    <w:rsid w:val="009C4545"/>
    <w:rsid w:val="009F180B"/>
    <w:rsid w:val="009F46FC"/>
    <w:rsid w:val="00A86209"/>
    <w:rsid w:val="00AB17A8"/>
    <w:rsid w:val="00AB5D12"/>
    <w:rsid w:val="00B006CA"/>
    <w:rsid w:val="00B93FEA"/>
    <w:rsid w:val="00BB1D57"/>
    <w:rsid w:val="00C55D84"/>
    <w:rsid w:val="00CC62D0"/>
    <w:rsid w:val="00CF58ED"/>
    <w:rsid w:val="00DB67F4"/>
    <w:rsid w:val="00DF6404"/>
    <w:rsid w:val="00E24EC7"/>
    <w:rsid w:val="00E30443"/>
    <w:rsid w:val="00EC3A90"/>
    <w:rsid w:val="00EF03BE"/>
    <w:rsid w:val="00F4056A"/>
    <w:rsid w:val="00F70A49"/>
    <w:rsid w:val="00F75452"/>
    <w:rsid w:val="00F849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B94"/>
    <w:rPr>
      <w:sz w:val="24"/>
      <w:szCs w:val="24"/>
      <w:lang w:val="en-US" w:eastAsia="en-US"/>
    </w:rPr>
  </w:style>
  <w:style w:type="paragraph" w:styleId="Heading1">
    <w:name w:val="heading 1"/>
    <w:aliases w:val="Chapter heading"/>
    <w:basedOn w:val="Normal"/>
    <w:next w:val="Normal"/>
    <w:autoRedefine/>
    <w:qFormat/>
    <w:rsid w:val="00304B94"/>
    <w:pPr>
      <w:keepNext/>
      <w:spacing w:before="240" w:after="60"/>
      <w:outlineLvl w:val="0"/>
    </w:pPr>
    <w:rPr>
      <w:rFonts w:ascii="Arial" w:hAnsi="Arial"/>
      <w:b/>
      <w:kern w:val="32"/>
      <w:sz w:val="28"/>
      <w:szCs w:val="32"/>
    </w:rPr>
  </w:style>
  <w:style w:type="paragraph" w:styleId="Heading2">
    <w:name w:val="heading 2"/>
    <w:basedOn w:val="Normal"/>
    <w:next w:val="Normal"/>
    <w:autoRedefine/>
    <w:qFormat/>
    <w:rsid w:val="00B426DA"/>
    <w:pPr>
      <w:keepNext/>
      <w:spacing w:before="240" w:after="60"/>
      <w:outlineLvl w:val="1"/>
    </w:pPr>
    <w:rPr>
      <w:rFonts w:ascii="Arial" w:hAnsi="Arial"/>
      <w:sz w:val="28"/>
      <w:szCs w:val="28"/>
    </w:rPr>
  </w:style>
  <w:style w:type="paragraph" w:styleId="Heading3">
    <w:name w:val="heading 3"/>
    <w:basedOn w:val="Normal"/>
    <w:next w:val="Normal"/>
    <w:qFormat/>
    <w:rsid w:val="00ED33EA"/>
    <w:pPr>
      <w:keepNext/>
      <w:spacing w:before="240" w:after="60"/>
      <w:outlineLvl w:val="2"/>
    </w:pPr>
    <w:rPr>
      <w:b/>
      <w:szCs w:val="22"/>
    </w:rPr>
  </w:style>
  <w:style w:type="paragraph" w:styleId="Heading4">
    <w:name w:val="heading 4"/>
    <w:basedOn w:val="Normal"/>
    <w:next w:val="Normal"/>
    <w:qFormat/>
    <w:rsid w:val="00304B94"/>
    <w:pPr>
      <w:keepNext/>
      <w:spacing w:before="240" w:after="60"/>
      <w:outlineLvl w:val="3"/>
    </w:pPr>
    <w:rPr>
      <w:b/>
      <w:sz w:val="28"/>
      <w:szCs w:val="28"/>
    </w:rPr>
  </w:style>
  <w:style w:type="paragraph" w:styleId="Heading5">
    <w:name w:val="heading 5"/>
    <w:basedOn w:val="Normal"/>
    <w:next w:val="Normal"/>
    <w:autoRedefine/>
    <w:qFormat/>
    <w:rsid w:val="00991289"/>
    <w:pPr>
      <w:spacing w:before="240" w:after="60"/>
      <w:outlineLvl w:val="4"/>
    </w:pPr>
    <w:rPr>
      <w:rFonts w:ascii="Arial" w:hAnsi="Arial"/>
      <w:szCs w:val="26"/>
    </w:rPr>
  </w:style>
  <w:style w:type="character" w:default="1" w:styleId="DefaultParagraphFont">
    <w:name w:val="Default Paragraph Font"/>
    <w:semiHidden/>
  </w:style>
  <w:style w:type="table" w:default="1" w:styleId="TableNormal">
    <w:name w:val="Normal Table"/>
    <w:semiHidden/>
    <w:rsid w:val="00FA399F"/>
    <w:rPr>
      <w:rFonts w:ascii="Arial" w:hAnsi="Arial"/>
    </w:rPr>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1143FB"/>
    <w:pPr>
      <w:shd w:val="clear" w:color="auto" w:fill="C6D5EC"/>
    </w:pPr>
    <w:rPr>
      <w:rFonts w:ascii="Lucida Grande" w:hAnsi="Lucida Grande"/>
    </w:rPr>
  </w:style>
  <w:style w:type="paragraph" w:customStyle="1" w:styleId="BSRLMArticleTitle">
    <w:name w:val="BSRLM Article Title"/>
    <w:next w:val="Normal"/>
    <w:autoRedefine/>
    <w:rsid w:val="00304B94"/>
    <w:pPr>
      <w:widowControl w:val="0"/>
      <w:spacing w:before="360" w:after="360"/>
    </w:pPr>
    <w:rPr>
      <w:b/>
      <w:sz w:val="24"/>
      <w:szCs w:val="24"/>
      <w:lang w:eastAsia="en-US"/>
    </w:rPr>
  </w:style>
  <w:style w:type="paragraph" w:customStyle="1" w:styleId="BSRLMAffiliation">
    <w:name w:val="BSRLM Affiliation"/>
    <w:next w:val="Normal"/>
    <w:autoRedefine/>
    <w:rsid w:val="009B7E7C"/>
    <w:pPr>
      <w:widowControl w:val="0"/>
      <w:spacing w:beforeAutospacing="1" w:after="120" w:afterAutospacing="1"/>
      <w:contextualSpacing/>
    </w:pPr>
    <w:rPr>
      <w:sz w:val="24"/>
      <w:szCs w:val="24"/>
      <w:lang w:val="en-US" w:eastAsia="en-US"/>
    </w:rPr>
  </w:style>
  <w:style w:type="paragraph" w:customStyle="1" w:styleId="BSRLMAbstract">
    <w:name w:val="BSRLM Abstract"/>
    <w:basedOn w:val="Normal"/>
    <w:next w:val="Normal"/>
    <w:autoRedefine/>
    <w:rsid w:val="00A51D28"/>
    <w:pPr>
      <w:spacing w:before="240" w:after="240"/>
      <w:ind w:left="567" w:right="567"/>
      <w:jc w:val="both"/>
    </w:pPr>
  </w:style>
  <w:style w:type="paragraph" w:customStyle="1" w:styleId="BSRLMHeading1">
    <w:name w:val="BSRLM Heading1"/>
    <w:basedOn w:val="Heading1"/>
    <w:rsid w:val="00304B94"/>
    <w:pPr>
      <w:spacing w:after="240"/>
    </w:pPr>
    <w:rPr>
      <w:rFonts w:ascii="Times New Roman" w:hAnsi="Times New Roman"/>
      <w:sz w:val="24"/>
    </w:rPr>
  </w:style>
  <w:style w:type="paragraph" w:customStyle="1" w:styleId="BSRLMHeading2">
    <w:name w:val="BSRLM Heading2"/>
    <w:basedOn w:val="Heading2"/>
    <w:rsid w:val="00FC612A"/>
    <w:pPr>
      <w:spacing w:after="240"/>
    </w:pPr>
    <w:rPr>
      <w:rFonts w:ascii="Times New Roman" w:hAnsi="Times New Roman"/>
      <w:b/>
      <w:i/>
      <w:sz w:val="24"/>
    </w:rPr>
  </w:style>
  <w:style w:type="paragraph" w:customStyle="1" w:styleId="BSRLMHeading3">
    <w:name w:val="BSRLM Heading3"/>
    <w:basedOn w:val="Heading3"/>
    <w:rsid w:val="00304B94"/>
    <w:rPr>
      <w:b w:val="0"/>
      <w:i/>
    </w:rPr>
  </w:style>
  <w:style w:type="paragraph" w:customStyle="1" w:styleId="BSRLMKeywords">
    <w:name w:val="BSRLM Keywords"/>
    <w:basedOn w:val="Normal"/>
    <w:next w:val="BSRLMHeading1"/>
    <w:rsid w:val="001143FB"/>
    <w:pPr>
      <w:ind w:left="567"/>
    </w:pPr>
    <w:rPr>
      <w:b/>
    </w:rPr>
  </w:style>
  <w:style w:type="paragraph" w:customStyle="1" w:styleId="BSRLMBodyText">
    <w:name w:val="BSRLM Body Text"/>
    <w:basedOn w:val="Normal"/>
    <w:rsid w:val="001143FB"/>
    <w:pPr>
      <w:ind w:firstLine="720"/>
      <w:jc w:val="both"/>
    </w:pPr>
    <w:rPr>
      <w:lang w:val="en-GB"/>
    </w:rPr>
  </w:style>
  <w:style w:type="paragraph" w:customStyle="1" w:styleId="BSRLMQuotation">
    <w:name w:val="BSRLM Quotation"/>
    <w:basedOn w:val="Normal"/>
    <w:next w:val="BSRLMBodyText"/>
    <w:rsid w:val="001143FB"/>
    <w:pPr>
      <w:spacing w:before="120" w:after="120"/>
      <w:ind w:left="851" w:right="851"/>
      <w:jc w:val="both"/>
    </w:pPr>
    <w:rPr>
      <w:sz w:val="20"/>
      <w:lang w:val="en-GB"/>
    </w:rPr>
  </w:style>
  <w:style w:type="paragraph" w:customStyle="1" w:styleId="BSRLMFigureCaption">
    <w:name w:val="BSRLM Figure Caption"/>
    <w:basedOn w:val="Normal"/>
    <w:rsid w:val="001143FB"/>
    <w:rPr>
      <w:sz w:val="20"/>
      <w:szCs w:val="20"/>
    </w:rPr>
  </w:style>
  <w:style w:type="paragraph" w:customStyle="1" w:styleId="BSRLMReferences">
    <w:name w:val="BSRLM References"/>
    <w:basedOn w:val="Normal"/>
    <w:rsid w:val="001143FB"/>
    <w:pPr>
      <w:ind w:left="720" w:hanging="720"/>
    </w:pPr>
    <w:rPr>
      <w:rFonts w:ascii="Times-Roman" w:hAnsi="Times-Roman"/>
      <w:szCs w:val="19"/>
    </w:rPr>
  </w:style>
  <w:style w:type="paragraph" w:styleId="Header">
    <w:name w:val="header"/>
    <w:basedOn w:val="Normal"/>
    <w:rsid w:val="00702BD5"/>
    <w:pPr>
      <w:tabs>
        <w:tab w:val="center" w:pos="4320"/>
        <w:tab w:val="right" w:pos="8640"/>
      </w:tabs>
    </w:pPr>
  </w:style>
  <w:style w:type="paragraph" w:styleId="Footer">
    <w:name w:val="footer"/>
    <w:basedOn w:val="Normal"/>
    <w:semiHidden/>
    <w:rsid w:val="00702BD5"/>
    <w:pPr>
      <w:tabs>
        <w:tab w:val="center" w:pos="4320"/>
        <w:tab w:val="right" w:pos="8640"/>
      </w:tabs>
    </w:pPr>
  </w:style>
  <w:style w:type="character" w:styleId="PageNumber">
    <w:name w:val="page number"/>
    <w:basedOn w:val="DefaultParagraphFont"/>
    <w:rsid w:val="00702BD5"/>
  </w:style>
  <w:style w:type="character" w:styleId="Hyperlink">
    <w:name w:val="Hyperlink"/>
    <w:basedOn w:val="DefaultParagraphFont"/>
    <w:rsid w:val="00DB67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3B2BE-14BA-486D-A946-6578ABB9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Article Title [Capitalize only initial letters of first word and proper nouns]</vt:lpstr>
    </vt:vector>
  </TitlesOfParts>
  <Company>Microsoft</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Title [Capitalize only initial letters of first word and proper nouns]</dc:title>
  <dc:creator>Marie Gibbs</dc:creator>
  <cp:lastModifiedBy>Anne Watson</cp:lastModifiedBy>
  <cp:revision>2</cp:revision>
  <cp:lastPrinted>2008-08-18T11:19:00Z</cp:lastPrinted>
  <dcterms:created xsi:type="dcterms:W3CDTF">2015-10-23T15:53:00Z</dcterms:created>
  <dcterms:modified xsi:type="dcterms:W3CDTF">2015-10-23T15:53:00Z</dcterms:modified>
</cp:coreProperties>
</file>